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52"/>
          <w:szCs w:val="52"/>
          <w:highlight w:val="none"/>
          <w:lang w:eastAsia="zh-CN"/>
        </w:rPr>
      </w:pPr>
      <w:r>
        <w:rPr>
          <w:rFonts w:hint="eastAsia" w:ascii="宋体" w:hAnsi="宋体" w:eastAsia="宋体" w:cs="宋体"/>
          <w:b/>
          <w:bCs/>
          <w:color w:val="auto"/>
          <w:sz w:val="52"/>
          <w:szCs w:val="52"/>
          <w:highlight w:val="none"/>
          <w:lang w:eastAsia="zh-CN"/>
        </w:rPr>
        <w:t xml:space="preserve">南通市通州区新一代电子政务外网建设项目</w:t>
      </w:r>
      <w:r/>
    </w:p>
    <w:p>
      <w:pPr>
        <w:pStyle w:val="1125"/>
        <w:rPr>
          <w:rFonts w:hint="eastAsia" w:eastAsia="等线"/>
          <w:color w:val="auto"/>
          <w:highlight w:val="none"/>
        </w:rPr>
      </w:pPr>
      <w:r>
        <w:rPr>
          <w:rFonts w:hint="eastAsia" w:eastAsia="等线"/>
          <w:color w:val="auto"/>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rPr>
          <w:rFonts w:hint="eastAsia"/>
          <w:color w:val="auto"/>
          <w:highlight w:val="none"/>
        </w:rPr>
      </w:pPr>
      <w:r>
        <w:rPr>
          <w:rFonts w:hint="eastAsia"/>
          <w:color w:val="auto"/>
          <w:highlight w:val="none"/>
        </w:rPr>
      </w:r>
      <w:r/>
    </w:p>
    <w:p>
      <w:pPr>
        <w:ind w:left="2100" w:hanging="2100"/>
        <w:rPr>
          <w:rFonts w:hint="eastAsia"/>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ind w:left="2100" w:hanging="2100"/>
        <w:rPr>
          <w:rFonts w:hint="eastAsia"/>
          <w:b/>
          <w:color w:val="auto"/>
          <w:sz w:val="30"/>
          <w:szCs w:val="30"/>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8" o:title=""/>
          </v:shape>
          <o:OLEObject DrawAspect="Content" r:id="rId19" ObjectID="_1525045" ProgID="MS_ClipArt_Gallery" ShapeID="_x0000_i5" Type="Embed"/>
        </w:object>
      </w:r>
      <w:r/>
    </w:p>
    <w:p>
      <w:pPr>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南通市通州区数据局</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代理机构：南通建仁房地产评估工程项目管理有限公司</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日  期：2025年</w:t>
      </w:r>
      <w:r>
        <w:rPr>
          <w:rFonts w:hint="eastAsia" w:ascii="宋体" w:hAnsi="宋体" w:cs="宋体"/>
          <w:b/>
          <w:bCs/>
          <w:color w:val="auto"/>
          <w:sz w:val="30"/>
          <w:szCs w:val="30"/>
          <w:highlight w:val="none"/>
          <w:lang w:val="en-US" w:eastAsia="zh-CN"/>
        </w:rPr>
        <w:t xml:space="preserve">10</w:t>
      </w:r>
      <w:r>
        <w:rPr>
          <w:rFonts w:hint="eastAsia" w:ascii="宋体" w:hAnsi="宋体" w:cs="宋体"/>
          <w:b/>
          <w:bCs/>
          <w:color w:val="auto"/>
          <w:sz w:val="30"/>
          <w:szCs w:val="30"/>
          <w:highlight w:val="none"/>
        </w:rPr>
        <w:t xml:space="preserve">月</w:t>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ind w:firstLine="720"/>
        <w:jc w:val="center"/>
        <w:spacing w:line="400" w:lineRule="exact"/>
        <w:rPr>
          <w:rFonts w:ascii="宋体" w:hAnsi="宋体"/>
          <w:color w:val="auto"/>
          <w:sz w:val="36"/>
          <w:szCs w:val="36"/>
          <w:highlight w:val="none"/>
        </w:rPr>
      </w:pPr>
      <w:r/>
      <w:bookmarkStart w:id="0" w:name="_Toc292026095"/>
      <w:r/>
      <w:bookmarkStart w:id="1" w:name="_Toc362528460"/>
      <w:r>
        <w:rPr>
          <w:rFonts w:hint="eastAsia" w:ascii="宋体" w:hAnsi="宋体"/>
          <w:color w:val="auto"/>
          <w:sz w:val="36"/>
          <w:szCs w:val="36"/>
          <w:highlight w:val="none"/>
        </w:rPr>
        <w:t xml:space="preserve">招标文件备案表</w:t>
      </w:r>
      <w:r/>
    </w:p>
    <w:tbl>
      <w:tblPr>
        <w:tblStyle w:val="879"/>
        <w:tblpPr w:horzAnchor="margin" w:tblpXSpec="center" w:vertAnchor="text" w:tblpY="158" w:leftFromText="180" w:topFromText="0" w:rightFromText="180" w:bottomFromText="0"/>
        <w:tblW w:w="8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8"/>
      </w:tblGrid>
      <w:tr>
        <w:trPr>
          <w:trHeight w:val="2542"/>
        </w:trPr>
        <w:tc>
          <w:tcPr>
            <w:tcW w:w="8748" w:type="dxa"/>
            <w:vAlign w:val="top"/>
            <w:textDirection w:val="lrTb"/>
            <w:noWrap w:val="false"/>
          </w:tcPr>
          <w:p>
            <w:pPr>
              <w:rPr>
                <w:color w:val="auto"/>
                <w:sz w:val="24"/>
                <w:szCs w:val="24"/>
                <w:highlight w:val="none"/>
              </w:rPr>
            </w:pPr>
            <w:r>
              <w:rPr>
                <w:color w:val="auto"/>
                <w:sz w:val="24"/>
                <w:szCs w:val="24"/>
                <w:highlight w:val="none"/>
              </w:rPr>
            </w:r>
            <w:r/>
          </w:p>
          <w:p>
            <w:pPr>
              <w:ind w:firstLine="3360"/>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编制人： 陈柯柯</w:t>
            </w:r>
            <w:r/>
          </w:p>
          <w:p>
            <w:pPr>
              <w:ind w:firstLine="4320"/>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日  期：202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10</w:t>
            </w:r>
            <w:r>
              <w:rPr>
                <w:rFonts w:hint="eastAsia"/>
                <w:color w:val="auto"/>
                <w:sz w:val="24"/>
                <w:szCs w:val="24"/>
                <w:highlight w:val="none"/>
              </w:rPr>
              <w:t xml:space="preserve">月</w:t>
            </w:r>
            <w:r>
              <w:rPr>
                <w:rFonts w:hint="eastAsia"/>
                <w:color w:val="auto"/>
                <w:sz w:val="24"/>
                <w:szCs w:val="24"/>
                <w:highlight w:val="none"/>
                <w:lang w:val="en-US" w:eastAsia="zh-CN"/>
              </w:rPr>
              <w:t xml:space="preserve">27</w:t>
            </w:r>
            <w:r>
              <w:rPr>
                <w:rFonts w:hint="eastAsia"/>
                <w:color w:val="auto"/>
                <w:sz w:val="24"/>
                <w:szCs w:val="24"/>
                <w:highlight w:val="none"/>
              </w:rPr>
              <w:t xml:space="preserve">日</w:t>
            </w:r>
            <w:r/>
          </w:p>
        </w:tc>
      </w:tr>
      <w:tr>
        <w:trPr>
          <w:trHeight w:val="4100"/>
        </w:trPr>
        <w:tc>
          <w:tcPr>
            <w:tcW w:w="8748" w:type="dxa"/>
            <w:vAlign w:val="top"/>
            <w:textDirection w:val="lrTb"/>
            <w:noWrap w:val="false"/>
          </w:tcPr>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招标人（盖章）：                </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法定代表人（签字或盖章）：</w:t>
            </w:r>
            <w:r/>
          </w:p>
          <w:p>
            <w:pPr>
              <w:ind w:firstLine="3600"/>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或授权委托人（签字或盖章）：</w:t>
            </w:r>
            <w:r/>
          </w:p>
          <w:p>
            <w:pPr>
              <w:rPr>
                <w:color w:val="auto"/>
                <w:sz w:val="24"/>
                <w:szCs w:val="24"/>
                <w:highlight w:val="none"/>
              </w:rPr>
            </w:pPr>
            <w:r>
              <w:rPr>
                <w:color w:val="auto"/>
                <w:sz w:val="24"/>
                <w:szCs w:val="24"/>
                <w:highlight w:val="none"/>
              </w:rPr>
            </w:r>
            <w:r/>
          </w:p>
          <w:p>
            <w:pPr>
              <w:ind w:firstLine="120"/>
              <w:rPr>
                <w:color w:val="auto"/>
                <w:sz w:val="24"/>
                <w:szCs w:val="24"/>
                <w:highlight w:val="none"/>
              </w:rPr>
            </w:pPr>
            <w:r>
              <w:rPr>
                <w:color w:val="auto"/>
                <w:sz w:val="24"/>
                <w:szCs w:val="24"/>
                <w:highlight w:val="none"/>
              </w:rPr>
            </w:r>
            <w:r/>
          </w:p>
          <w:p>
            <w:pPr>
              <w:ind w:firstLine="120"/>
              <w:rPr>
                <w:color w:val="auto"/>
                <w:sz w:val="24"/>
                <w:szCs w:val="24"/>
                <w:highlight w:val="none"/>
              </w:rPr>
            </w:pPr>
            <w:r>
              <w:rPr>
                <w:color w:val="auto"/>
                <w:sz w:val="24"/>
                <w:szCs w:val="24"/>
                <w:highlight w:val="none"/>
              </w:rPr>
            </w:r>
            <w:r/>
          </w:p>
          <w:p>
            <w:pPr>
              <w:ind w:firstLine="4800"/>
              <w:rPr>
                <w:color w:val="auto"/>
                <w:sz w:val="24"/>
                <w:szCs w:val="24"/>
                <w:highlight w:val="none"/>
              </w:rPr>
            </w:pPr>
            <w:r>
              <w:rPr>
                <w:rFonts w:hint="eastAsia"/>
                <w:color w:val="auto"/>
                <w:sz w:val="24"/>
                <w:szCs w:val="24"/>
                <w:highlight w:val="none"/>
              </w:rPr>
              <w:t xml:space="preserve">日  期： </w:t>
            </w:r>
            <w:r>
              <w:rPr>
                <w:color w:val="auto"/>
                <w:sz w:val="24"/>
                <w:szCs w:val="24"/>
                <w:highlight w:val="none"/>
              </w:rPr>
              <w:t xml:space="preserve">  </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r/>
          </w:p>
        </w:tc>
      </w:tr>
      <w:tr>
        <w:trPr>
          <w:trHeight w:val="4397"/>
        </w:trPr>
        <w:tc>
          <w:tcPr>
            <w:tcW w:w="8748" w:type="dxa"/>
            <w:vAlign w:val="top"/>
            <w:textDirection w:val="lrTb"/>
            <w:noWrap w:val="false"/>
          </w:tcPr>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招标代理机构（盖章）：</w:t>
            </w:r>
            <w:r>
              <w:rPr>
                <w:color w:val="auto"/>
                <w:sz w:val="24"/>
                <w:szCs w:val="24"/>
                <w:highlight w:val="none"/>
              </w:rPr>
              <w:t xml:space="preserve">          </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法人代表（签字或盖章）：</w:t>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或授权委托人（签字或盖章）：</w:t>
            </w:r>
            <w:r>
              <w:rPr>
                <w:color w:val="auto"/>
                <w:sz w:val="24"/>
                <w:szCs w:val="24"/>
                <w:highlight w:val="none"/>
              </w:rPr>
              <w:t xml:space="preserve">  </w:t>
            </w:r>
            <w:r/>
          </w:p>
          <w:p>
            <w:pPr>
              <w:rPr>
                <w:color w:val="auto"/>
                <w:sz w:val="24"/>
                <w:szCs w:val="24"/>
                <w:highlight w:val="none"/>
              </w:rPr>
            </w:pPr>
            <w:r>
              <w:rPr>
                <w:color w:val="auto"/>
                <w:sz w:val="24"/>
                <w:szCs w:val="24"/>
                <w:highlight w:val="none"/>
              </w:rPr>
              <w:t xml:space="preserve">            </w:t>
            </w:r>
            <w:r/>
          </w:p>
          <w:p>
            <w:pPr>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日  期：  </w:t>
            </w:r>
            <w:r>
              <w:rPr>
                <w:color w:val="auto"/>
                <w:sz w:val="24"/>
                <w:szCs w:val="24"/>
                <w:highlight w:val="none"/>
              </w:rPr>
              <w:t xml:space="preserve">     </w:t>
            </w: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bookmarkEnd w:id="0"/>
            <w:bookmarkEnd w:id="1"/>
            <w:r/>
          </w:p>
        </w:tc>
      </w:tr>
    </w:tbl>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br w:type="column"/>
      </w:r>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5"/>
        </w:numPr>
        <w:spacing w:line="48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 </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 </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rPr>
          <w:rFonts w:hint="eastAsia" w:ascii="黑体" w:eastAsia="黑体"/>
          <w:color w:val="auto"/>
          <w:sz w:val="44"/>
          <w:szCs w:val="44"/>
          <w:highlight w:val="none"/>
        </w:rPr>
        <w:t xml:space="preserve">第一章  投标邀请</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南通市通州区数据局</w:t>
      </w:r>
      <w:r>
        <w:rPr>
          <w:rFonts w:hint="eastAsia" w:ascii="宋体" w:hAnsi="宋体"/>
          <w:color w:val="auto"/>
          <w:sz w:val="24"/>
          <w:szCs w:val="24"/>
          <w:highlight w:val="none"/>
        </w:rPr>
        <w:t xml:space="preserve">]的委托，南通建仁房地产评估工程项目管理有限公司就[</w:t>
      </w:r>
      <w:r>
        <w:rPr>
          <w:rFonts w:hint="eastAsia" w:ascii="宋体" w:hAnsi="宋体"/>
          <w:color w:val="auto"/>
          <w:sz w:val="24"/>
          <w:szCs w:val="24"/>
          <w:highlight w:val="none"/>
          <w:lang w:eastAsia="zh-CN"/>
        </w:rPr>
        <w:t xml:space="preserve">南通市通州区新一代电子政务外网建设项目</w:t>
      </w:r>
      <w:r>
        <w:rPr>
          <w:rFonts w:hint="eastAsia" w:ascii="宋体" w:hAnsi="宋体"/>
          <w:color w:val="auto"/>
          <w:sz w:val="24"/>
          <w:szCs w:val="24"/>
          <w:highlight w:val="none"/>
        </w:rPr>
        <w:t xml:space="preserve">]([项目编号：JSZC-320612-NTJR-G2025-0063</w:t>
      </w:r>
      <w:r>
        <w:rPr>
          <w:rFonts w:hint="eastAsia" w:ascii="宋体" w:hAnsi="宋体"/>
          <w:color w:val="auto"/>
          <w:sz w:val="24"/>
          <w:szCs w:val="24"/>
          <w:highlight w:val="none"/>
        </w:rPr>
        <w:t xml:space="preserve">])项目进行公开招标采购，欢迎符合条件的投标人投标。</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南通市通州区新一代电子政务外网建设项目</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rPr>
        <w:t xml:space="preserve">9点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8"/>
        <w:keepLines/>
        <w:keepNext/>
        <w:spacing w:before="145" w:after="145" w:line="360" w:lineRule="auto"/>
        <w:rPr>
          <w:b/>
          <w:bCs/>
          <w:color w:val="auto"/>
          <w:sz w:val="32"/>
          <w:szCs w:val="32"/>
          <w:highlight w:val="none"/>
        </w:rPr>
        <w:outlineLvl w:val="2"/>
      </w:pPr>
      <w:r/>
      <w:bookmarkStart w:id="2" w:name="_Toc38985263"/>
      <w:r/>
      <w:bookmarkStart w:id="3" w:name="_Toc35393621"/>
      <w:r/>
      <w:bookmarkStart w:id="4" w:name="_Toc28359079"/>
      <w:r/>
      <w:bookmarkStart w:id="5" w:name="_Toc28359002"/>
      <w:r/>
      <w:bookmarkStart w:id="6" w:name="_Toc35393790"/>
      <w:r/>
      <w:bookmarkStart w:id="7" w:name="_Hlk24379207"/>
      <w:r>
        <w:rPr>
          <w:rFonts w:hint="eastAsia"/>
          <w:b/>
          <w:bCs/>
          <w:color w:val="auto"/>
          <w:sz w:val="32"/>
          <w:szCs w:val="32"/>
          <w:highlight w:val="none"/>
        </w:rPr>
        <w:t xml:space="preserve">一、项目基本情况</w:t>
      </w:r>
      <w:bookmarkEnd w:id="2"/>
      <w:r/>
      <w:bookmarkEnd w:id="3"/>
      <w:r/>
      <w:bookmarkEnd w:id="4"/>
      <w:r/>
      <w:bookmarkEnd w:id="5"/>
      <w:r/>
      <w:bookmarkEnd w:id="6"/>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1.项目编号：JSZC-320612-NTJR-G2025-0063</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南通市通州区新一代电子政务外网建设项目</w:t>
      </w:r>
      <w:bookmarkEnd w:id="7"/>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250</w:t>
      </w:r>
      <w:r>
        <w:rPr>
          <w:rFonts w:hint="eastAsia" w:ascii="宋体" w:hAnsi="宋体"/>
          <w:color w:val="auto"/>
          <w:sz w:val="24"/>
          <w:szCs w:val="24"/>
          <w:highlight w:val="none"/>
        </w:rPr>
        <w:t xml:space="preserve">万元</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设定</w:t>
      </w:r>
      <w:r>
        <w:rPr>
          <w:rFonts w:hint="eastAsia" w:ascii="宋体" w:hAnsi="宋体"/>
          <w:color w:val="auto"/>
          <w:sz w:val="24"/>
          <w:szCs w:val="24"/>
          <w:highlight w:val="none"/>
        </w:rPr>
        <w:t xml:space="preserve">（设定/不设定）最高限价，最高限价为</w:t>
      </w:r>
      <w:r>
        <w:rPr>
          <w:rFonts w:hint="eastAsia" w:ascii="宋体" w:hAnsi="宋体"/>
          <w:color w:val="auto"/>
          <w:sz w:val="24"/>
          <w:szCs w:val="24"/>
          <w:highlight w:val="none"/>
          <w:u w:val="single"/>
          <w:lang w:val="en-US" w:eastAsia="zh-CN"/>
        </w:rPr>
        <w:t xml:space="preserve">250</w:t>
      </w:r>
      <w:r>
        <w:rPr>
          <w:rFonts w:hint="eastAsia" w:ascii="宋体" w:hAnsi="宋体"/>
          <w:color w:val="auto"/>
          <w:sz w:val="24"/>
          <w:szCs w:val="24"/>
          <w:highlight w:val="none"/>
        </w:rPr>
        <w:t xml:space="preserve">万元。</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5.采购需求(简介)：详细内容</w:t>
      </w:r>
      <w:r>
        <w:rPr>
          <w:rFonts w:hint="eastAsia" w:ascii="宋体" w:hAnsi="宋体" w:eastAsia="宋体" w:cs="Times New Roman"/>
          <w:color w:val="auto"/>
          <w:sz w:val="24"/>
          <w:szCs w:val="24"/>
          <w:highlight w:val="none"/>
          <w:lang w:val="en-US" w:eastAsia="zh-CN"/>
        </w:rPr>
        <w:t xml:space="preserve">详</w:t>
      </w:r>
      <w:r>
        <w:rPr>
          <w:rFonts w:hint="eastAsia" w:ascii="宋体" w:hAnsi="宋体" w:eastAsia="宋体" w:cs="Times New Roman"/>
          <w:color w:val="auto"/>
          <w:sz w:val="24"/>
          <w:szCs w:val="24"/>
          <w:highlight w:val="none"/>
        </w:rPr>
        <w:t xml:space="preserve">见本招标文件第四章。</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eastAsia="宋体" w:cs="Times New Roman"/>
          <w:color w:val="auto"/>
          <w:sz w:val="24"/>
          <w:szCs w:val="24"/>
          <w:highlight w:val="none"/>
        </w:rPr>
        <w:t xml:space="preserve">自签订日期之日起</w:t>
      </w:r>
      <w:r>
        <w:rPr>
          <w:rFonts w:hint="eastAsia" w:ascii="宋体" w:hAnsi="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7.项目类型：货物。</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8.所属行业：工业。</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9.本项目是否专门面向中小企业采购：</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ind w:firstLine="498"/>
        <w:keepLines/>
        <w:keepNext/>
        <w:spacing w:before="145" w:after="145" w:line="360" w:lineRule="auto"/>
        <w:rPr>
          <w:b/>
          <w:bCs/>
          <w:color w:val="auto"/>
          <w:sz w:val="32"/>
          <w:szCs w:val="32"/>
          <w:highlight w:val="none"/>
        </w:rPr>
        <w:outlineLvl w:val="2"/>
      </w:pPr>
      <w:r/>
      <w:bookmarkStart w:id="8" w:name="_Toc35393622"/>
      <w:r/>
      <w:bookmarkStart w:id="9" w:name="_Toc38985264"/>
      <w:r/>
      <w:bookmarkStart w:id="10" w:name="_Toc28359003"/>
      <w:r/>
      <w:bookmarkStart w:id="11" w:name="_Toc28359080"/>
      <w:r/>
      <w:bookmarkStart w:id="12" w:name="_Toc35393791"/>
      <w:r>
        <w:rPr>
          <w:rFonts w:hint="eastAsia"/>
          <w:b/>
          <w:bCs/>
          <w:color w:val="auto"/>
          <w:sz w:val="32"/>
          <w:szCs w:val="32"/>
          <w:highlight w:val="none"/>
        </w:rPr>
        <w:t xml:space="preserve">二、申请人的资格要求</w:t>
      </w:r>
      <w:bookmarkEnd w:id="8"/>
      <w:r/>
      <w:bookmarkEnd w:id="9"/>
      <w:r/>
      <w:bookmarkEnd w:id="10"/>
      <w:r/>
      <w:bookmarkEnd w:id="11"/>
      <w:r/>
      <w:bookmarkEnd w:id="12"/>
      <w:r/>
      <w:r/>
    </w:p>
    <w:p>
      <w:pPr>
        <w:ind w:firstLine="480"/>
        <w:pageBreakBefore w:val="0"/>
        <w:spacing w:line="360" w:lineRule="auto"/>
        <w:widowControl w:val="off"/>
        <w:rPr>
          <w:rFonts w:hint="eastAsia" w:ascii="宋体" w:hAnsi="宋体"/>
          <w:color w:val="auto"/>
          <w:sz w:val="24"/>
          <w:szCs w:val="24"/>
          <w:highlight w:val="none"/>
        </w:rPr>
      </w:pPr>
      <w:r/>
      <w:bookmarkStart w:id="13" w:name="_Toc28359004"/>
      <w:r/>
      <w:bookmarkStart w:id="14" w:name="_Toc35393623"/>
      <w:r/>
      <w:bookmarkStart w:id="15" w:name="_Toc28359081"/>
      <w:r/>
      <w:bookmarkStart w:id="16" w:name="_Toc38985265"/>
      <w:r/>
      <w:bookmarkStart w:id="17"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1.2</w:t>
      </w:r>
      <w:bookmarkStart w:id="18" w:name="OLE_LINK9"/>
      <w:r>
        <w:rPr>
          <w:rFonts w:hint="eastAsia" w:ascii="宋体" w:hAnsi="宋体"/>
          <w:color w:val="auto"/>
          <w:sz w:val="24"/>
          <w:szCs w:val="24"/>
          <w:highlight w:val="none"/>
        </w:rPr>
        <w:t xml:space="preserve">提供2024年度由会计师事务所（或者审计机构）出具的财务报告或投标截止时间前三个月（不含投标截止时间当月）任意一个月的银行资信证明；（成立不满一年无需提供）；</w:t>
      </w:r>
      <w:bookmarkEnd w:id="18"/>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pageBreakBefore w:val="0"/>
        <w:spacing w:line="360" w:lineRule="auto"/>
        <w:widowControl w:val="off"/>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3.落实政府采购政策需满足的资格要求：本项目属于</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专门面向中小企业采购的项目，供应商应为中小微企业或监狱企业或残疾人福利性单位，并按照采购文件要求提供《中小企业声明函》或《残疾人福利性单位声明函》或监狱和戒毒企业证明材料。</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（2）残疾人福利性单位按照《关于促进残疾人就业政府采购政策的通知》（财库〔2017〕141号）有关规定执行。</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（3）监狱企业按照《关于政府采购支持监狱企业发展有关问题的通知》（财库【2014】68号）有关规定执行。</w:t>
      </w:r>
      <w:r/>
    </w:p>
    <w:p>
      <w:pPr>
        <w:ind w:firstLine="372"/>
        <w:keepLines/>
        <w:keepNext/>
        <w:pageBreakBefore w:val="0"/>
        <w:spacing w:before="145" w:after="145" w:line="360" w:lineRule="auto"/>
        <w:widowControl w:val="off"/>
        <w:rPr>
          <w:rFonts w:ascii="宋体" w:hAnsi="宋体" w:cs="宋体"/>
          <w:color w:val="auto"/>
          <w:sz w:val="24"/>
          <w:szCs w:val="24"/>
          <w:highlight w:val="none"/>
        </w:rPr>
        <w:outlineLvl w:val="2"/>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联合体投标（接受/不接受）。</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无。</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三、获取招标文件</w:t>
      </w:r>
      <w:bookmarkEnd w:id="13"/>
      <w:r/>
      <w:bookmarkEnd w:id="14"/>
      <w:r/>
      <w:bookmarkEnd w:id="15"/>
      <w:r/>
      <w:bookmarkEnd w:id="16"/>
      <w:r/>
      <w:bookmarkEnd w:id="17"/>
      <w:r/>
      <w:r/>
    </w:p>
    <w:p>
      <w:pPr>
        <w:ind w:firstLine="540"/>
        <w:keepLines w:val="0"/>
        <w:keepNext w:val="0"/>
        <w:pageBreakBefore w:val="0"/>
        <w:spacing w:line="360" w:lineRule="auto"/>
        <w:widowControl w:val="off"/>
        <w:rPr>
          <w:rFonts w:ascii="宋体" w:hAnsi="宋体" w:cs="宋体"/>
          <w:color w:val="auto"/>
          <w:sz w:val="24"/>
          <w:szCs w:val="24"/>
          <w:highlight w:val="none"/>
        </w:rPr>
      </w:pPr>
      <w:r/>
      <w:bookmarkStart w:id="19" w:name="_Toc28359005"/>
      <w:r/>
      <w:bookmarkStart w:id="20" w:name="_Toc28359082"/>
      <w:r/>
      <w:bookmarkStart w:id="21" w:name="_Toc35393624"/>
      <w:r/>
      <w:bookmarkStart w:id="22" w:name="_Toc35393793"/>
      <w:r/>
      <w:bookmarkStart w:id="23" w:name="_Toc38985266"/>
      <w:r>
        <w:rPr>
          <w:rFonts w:hint="eastAsia" w:ascii="宋体" w:hAnsi="宋体" w:cs="宋体"/>
          <w:color w:val="auto"/>
          <w:sz w:val="24"/>
          <w:szCs w:val="24"/>
          <w:highlight w:val="none"/>
        </w:rPr>
        <w:t xml:space="preserve">1.时间：自招标文件公告发布之日起5个工作日。</w:t>
      </w:r>
      <w:r/>
    </w:p>
    <w:p>
      <w:pPr>
        <w:ind w:firstLine="54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2.获取方式：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地点：江苏政府采购网</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获取方式：本项目采用网上注册登记方式。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2.1潜在供应商访问电子招标响应交易平台的网络地址和方法：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2.3“CA数字证书”的获取：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2.5采购人或采购代理机构将数据电文形式的采购文件加载至“苏采云”系统，供潜在供应商下载或者查阅。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keepLines w:val="0"/>
        <w:keepNext w:val="0"/>
        <w:pageBreakBefore w:val="0"/>
        <w:spacing w:line="360" w:lineRule="auto"/>
        <w:widowControl w:val="off"/>
        <w:rPr>
          <w:rFonts w:cs="宋体"/>
          <w:b/>
          <w:color w:val="auto"/>
          <w:sz w:val="24"/>
          <w:szCs w:val="24"/>
          <w:highlight w:val="none"/>
        </w:rPr>
      </w:pPr>
      <w:r>
        <w:rPr>
          <w:rFonts w:hint="eastAsia" w:cs="宋体"/>
          <w:b/>
          <w:color w:val="auto"/>
          <w:sz w:val="24"/>
          <w:szCs w:val="24"/>
          <w:highlight w:val="none"/>
        </w:rPr>
        <w:t xml:space="preserve">注：如潜在供应商未按上述要求操作，将自行承担所产生的风险。</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四、提交投标文件</w:t>
      </w:r>
      <w:bookmarkEnd w:id="19"/>
      <w:r/>
      <w:bookmarkEnd w:id="20"/>
      <w:r>
        <w:rPr>
          <w:rFonts w:hint="eastAsia"/>
          <w:b/>
          <w:bCs/>
          <w:color w:val="auto"/>
          <w:sz w:val="32"/>
          <w:szCs w:val="32"/>
          <w:highlight w:val="none"/>
        </w:rPr>
        <w:t xml:space="preserve">截止时间、开标时间和地点</w:t>
      </w:r>
      <w:bookmarkEnd w:id="21"/>
      <w:r/>
      <w:bookmarkEnd w:id="22"/>
      <w:r/>
      <w:bookmarkEnd w:id="23"/>
      <w:r/>
      <w:r/>
    </w:p>
    <w:p>
      <w:pPr>
        <w:ind w:firstLine="480"/>
        <w:keepLines w:val="0"/>
        <w:keepNext w:val="0"/>
        <w:pageBreakBefore w:val="0"/>
        <w:spacing w:line="360" w:lineRule="auto"/>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2025年</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日9点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w:t>
      </w:r>
      <w:r/>
    </w:p>
    <w:p>
      <w:pPr>
        <w:ind w:firstLine="480"/>
        <w:keepLines w:val="0"/>
        <w:keepNext w:val="0"/>
        <w:pageBreakBefore w:val="0"/>
        <w:spacing w:line="360"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ind w:firstLine="498"/>
        <w:keepLines/>
        <w:keepNext/>
        <w:spacing w:before="145" w:after="145" w:line="360" w:lineRule="auto"/>
        <w:rPr>
          <w:b/>
          <w:bCs/>
          <w:color w:val="auto"/>
          <w:sz w:val="32"/>
          <w:szCs w:val="32"/>
          <w:highlight w:val="none"/>
        </w:rPr>
        <w:outlineLvl w:val="2"/>
      </w:pPr>
      <w:r/>
      <w:bookmarkStart w:id="24" w:name="_Toc28359007"/>
      <w:r/>
      <w:bookmarkStart w:id="25" w:name="_Toc28359084"/>
      <w:r/>
      <w:bookmarkStart w:id="26" w:name="_Toc35393794"/>
      <w:r/>
      <w:bookmarkStart w:id="27" w:name="_Toc35393625"/>
      <w:r/>
      <w:bookmarkStart w:id="28" w:name="_Toc38985267"/>
      <w:r>
        <w:rPr>
          <w:rFonts w:hint="eastAsia"/>
          <w:b/>
          <w:bCs/>
          <w:color w:val="auto"/>
          <w:sz w:val="32"/>
          <w:szCs w:val="32"/>
          <w:highlight w:val="none"/>
        </w:rPr>
        <w:t xml:space="preserve">五、公告期限</w:t>
      </w:r>
      <w:bookmarkEnd w:id="24"/>
      <w:r/>
      <w:bookmarkEnd w:id="25"/>
      <w:r/>
      <w:bookmarkEnd w:id="26"/>
      <w:r/>
      <w:bookmarkEnd w:id="27"/>
      <w:r/>
      <w:bookmarkEnd w:id="28"/>
      <w:r/>
      <w:r/>
    </w:p>
    <w:p>
      <w:pPr>
        <w:ind w:firstLine="480"/>
        <w:rPr>
          <w:rFonts w:ascii="宋体" w:hAnsi="宋体" w:cs="宋体"/>
          <w:color w:val="auto"/>
          <w:sz w:val="24"/>
          <w:szCs w:val="24"/>
          <w:highlight w:val="none"/>
        </w:rPr>
      </w:pPr>
      <w:r/>
      <w:bookmarkStart w:id="29" w:name="_Toc35393795"/>
      <w:r/>
      <w:bookmarkStart w:id="30" w:name="_Toc35393626"/>
      <w:r/>
      <w:bookmarkStart w:id="31" w:name="_Toc38985268"/>
      <w:r>
        <w:rPr>
          <w:rFonts w:hint="eastAsia" w:ascii="宋体" w:hAnsi="宋体" w:cs="宋体"/>
          <w:color w:val="auto"/>
          <w:sz w:val="24"/>
          <w:szCs w:val="24"/>
          <w:highlight w:val="none"/>
        </w:rPr>
        <w:t xml:space="preserve">招标公告及招标文件公告期限为自本公告发布之日起5个工作日。</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六、其他补充事宜</w:t>
      </w:r>
      <w:bookmarkEnd w:id="29"/>
      <w:r/>
      <w:bookmarkEnd w:id="30"/>
      <w:r/>
      <w:bookmarkEnd w:id="31"/>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bookmarkStart w:id="32" w:name="_Toc35393796"/>
      <w:r/>
      <w:bookmarkStart w:id="33" w:name="_Toc28359085"/>
      <w:r/>
      <w:bookmarkStart w:id="34" w:name="_Toc28359008"/>
      <w:r/>
      <w:bookmarkStart w:id="35" w:name="_Toc35393627"/>
      <w:r/>
      <w:bookmarkStart w:id="36" w:name="_Toc38985269"/>
      <w:r>
        <w:rPr>
          <w:rFonts w:hint="eastAsia" w:ascii="宋体" w:hAnsi="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、项目演示、样品、答辩等：无。</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color w:val="auto"/>
          <w:sz w:val="24"/>
          <w:szCs w:val="24"/>
          <w:highlight w:val="none"/>
          <w:lang w:val="en-US" w:eastAsia="zh-CN"/>
        </w:rPr>
        <w:t xml:space="preserve">招标代理机构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val="en-US" w:eastAsia="zh-CN"/>
        </w:rPr>
        <w:t xml:space="preserve">招标代理机构</w:t>
      </w:r>
      <w:r>
        <w:rPr>
          <w:rFonts w:hint="eastAsia" w:ascii="宋体" w:hAnsi="宋体"/>
          <w:color w:val="auto"/>
          <w:sz w:val="24"/>
          <w:szCs w:val="24"/>
          <w:highlight w:val="none"/>
        </w:rPr>
        <w:t xml:space="preserve">负责答复。</w:t>
      </w:r>
      <w:r/>
    </w:p>
    <w:p>
      <w:pPr>
        <w:ind w:firstLine="480"/>
        <w:jc w:val="left"/>
        <w:keepLines w:val="0"/>
        <w:keepNext w:val="0"/>
        <w:pageBreakBefore w:val="0"/>
        <w:spacing w:line="360" w:lineRule="auto"/>
        <w:widowControl w:val="off"/>
        <w:rPr>
          <w:bCs/>
          <w:color w:val="auto"/>
          <w:sz w:val="24"/>
          <w:szCs w:val="24"/>
          <w:highlight w:val="none"/>
        </w:rPr>
      </w:pPr>
      <w:r>
        <w:rPr>
          <w:rFonts w:hint="eastAsia"/>
          <w:bCs/>
          <w:color w:val="auto"/>
          <w:sz w:val="24"/>
          <w:szCs w:val="24"/>
          <w:highlight w:val="none"/>
          <w:lang w:val="en-US" w:eastAsia="zh-CN"/>
        </w:rPr>
        <w:t xml:space="preserve">4</w:t>
      </w:r>
      <w:r>
        <w:rPr>
          <w:rFonts w:hint="eastAsia"/>
          <w:bCs/>
          <w:color w:val="auto"/>
          <w:sz w:val="24"/>
          <w:szCs w:val="24"/>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七、本次招标联系方式</w:t>
      </w:r>
      <w:bookmarkEnd w:id="32"/>
      <w:r/>
      <w:bookmarkEnd w:id="33"/>
      <w:r/>
      <w:bookmarkEnd w:id="34"/>
      <w:r/>
      <w:bookmarkEnd w:id="35"/>
      <w:r/>
      <w:bookmarkEnd w:id="3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lang w:eastAsia="zh-CN"/>
        </w:rPr>
        <w:t xml:space="preserve">南通市通州区数据局</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rPr>
        <w:t xml:space="preserve">南通市通州区碧华路197号</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耿先生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051386028991 </w:t>
      </w:r>
      <w:r>
        <w:rPr>
          <w:rFonts w:hint="eastAsia" w:ascii="宋体" w:hAnsi="宋体" w:eastAsia="宋体" w:cs="宋体"/>
          <w:color w:val="auto"/>
          <w:sz w:val="24"/>
          <w:szCs w:val="24"/>
          <w:highlight w:val="none"/>
        </w:rPr>
        <w:t xml:space="preserve">　　 </w:t>
      </w:r>
      <w:bookmarkStart w:id="37" w:name="_Toc28359009"/>
      <w:r/>
      <w:bookmarkStart w:id="38" w:name="_Toc28359086"/>
      <w:r/>
      <w:bookmarkEnd w:id="37"/>
      <w:bookmarkEnd w:id="38"/>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 南通建仁房地产评估工程项目管理有限公司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址：南通市通州区锦绣路118号锦安妮纺织品有限公司办公楼三楼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bookmarkStart w:id="39" w:name="OLE_LINK1"/>
      <w:r>
        <w:rPr>
          <w:rFonts w:hint="eastAsia" w:ascii="宋体" w:hAnsi="宋体" w:eastAsia="宋体" w:cs="宋体"/>
          <w:color w:val="auto"/>
          <w:sz w:val="24"/>
          <w:szCs w:val="24"/>
          <w:highlight w:val="none"/>
        </w:rPr>
        <w:t xml:space="preserve">陈先生、秦女士</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话：15062737585、15996537148</w:t>
      </w:r>
      <w:bookmarkEnd w:id="39"/>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交易系统软件维护人员：0513-59001950 0519-86722801</w:t>
      </w:r>
      <w:r/>
    </w:p>
    <w:p>
      <w:pPr>
        <w:ind w:firstLine="2429"/>
        <w:keepLines/>
        <w:keepNext/>
        <w:spacing w:before="260" w:after="260" w:line="416" w:lineRule="auto"/>
        <w:rPr>
          <w:rFonts w:hint="eastAsia" w:ascii="黑体" w:hAnsi="Arial" w:eastAsia="黑体" w:cs="Arial"/>
          <w:color w:val="auto"/>
          <w:sz w:val="44"/>
          <w:szCs w:val="44"/>
          <w:highlight w:val="none"/>
        </w:rPr>
        <w:outlineLvl w:val="1"/>
      </w:pPr>
      <w:r/>
      <w:bookmarkStart w:id="40" w:name="_Toc120614211"/>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40"/>
      <w:r/>
      <w:bookmarkStart w:id="41" w:name="_Toc120614213"/>
      <w:r/>
      <w:bookmarkStart w:id="42" w:name="_Toc20823274"/>
      <w:r/>
      <w:bookmarkStart w:id="43" w:name="_Toc16938518"/>
      <w:r/>
      <w:bookmarkStart w:id="44" w:name="_Toc513029202"/>
      <w:r>
        <w:rPr>
          <w:rFonts w:hint="eastAsia" w:ascii="黑体" w:hAnsi="Arial" w:eastAsia="黑体" w:cs="Arial"/>
          <w:b/>
          <w:bCs/>
          <w:color w:val="auto"/>
          <w:sz w:val="44"/>
          <w:szCs w:val="44"/>
          <w:highlight w:val="none"/>
        </w:rPr>
        <w:t xml:space="preserve">投标人须知</w:t>
      </w:r>
      <w:bookmarkEnd w:id="41"/>
      <w:r/>
      <w:bookmarkEnd w:id="42"/>
      <w:r/>
      <w:bookmarkEnd w:id="43"/>
      <w:r/>
      <w:bookmarkEnd w:id="44"/>
      <w:r/>
      <w:r/>
    </w:p>
    <w:p>
      <w:pPr>
        <w:ind w:firstLine="498"/>
        <w:keepLines/>
        <w:keepNext/>
        <w:pageBreakBefore w:val="0"/>
        <w:spacing w:before="145" w:after="145" w:line="360" w:lineRule="auto"/>
        <w:widowControl w:val="off"/>
        <w:rPr>
          <w:rFonts w:hint="eastAsia"/>
          <w:b/>
          <w:bCs/>
          <w:color w:val="auto"/>
          <w:sz w:val="32"/>
          <w:szCs w:val="32"/>
          <w:highlight w:val="none"/>
        </w:rPr>
        <w:outlineLvl w:val="2"/>
      </w:pPr>
      <w:r/>
      <w:bookmarkStart w:id="45" w:name="_Toc120614214"/>
      <w:r/>
      <w:bookmarkStart w:id="46" w:name="_Toc513029203"/>
      <w:r/>
      <w:bookmarkStart w:id="47" w:name="_Toc20823275"/>
      <w:r/>
      <w:bookmarkStart w:id="48" w:name="_Toc16938519"/>
      <w:r>
        <w:rPr>
          <w:rFonts w:hint="eastAsia"/>
          <w:b/>
          <w:bCs/>
          <w:color w:val="auto"/>
          <w:sz w:val="32"/>
          <w:szCs w:val="32"/>
          <w:highlight w:val="none"/>
        </w:rPr>
        <w:t xml:space="preserve">一、总则</w:t>
      </w:r>
      <w:bookmarkEnd w:id="45"/>
      <w:r/>
      <w:bookmarkEnd w:id="46"/>
      <w:r/>
      <w:bookmarkEnd w:id="47"/>
      <w:r/>
      <w:bookmarkEnd w:id="48"/>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Arial" w:hAnsi="Arial" w:eastAsia="黑体" w:cs="Arial"/>
          <w:color w:val="auto"/>
          <w:sz w:val="28"/>
          <w:szCs w:val="28"/>
          <w:highlight w:val="none"/>
        </w:rPr>
        <w:t xml:space="preserve">1</w:t>
      </w:r>
      <w:bookmarkEnd w:id="50"/>
      <w:r>
        <w:rPr>
          <w:rFonts w:hint="eastAsia" w:ascii="Arial" w:hAnsi="Arial" w:eastAsia="黑体" w:cs="Arial"/>
          <w:color w:val="auto"/>
          <w:sz w:val="28"/>
          <w:szCs w:val="28"/>
          <w:highlight w:val="none"/>
        </w:rPr>
        <w:t xml:space="preserve">、招标方式</w:t>
      </w:r>
      <w:bookmarkEnd w:id="51"/>
      <w:r/>
      <w:bookmarkEnd w:id="52"/>
      <w:r/>
      <w:bookmarkEnd w:id="53"/>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54" w:name="_Toc513029205"/>
      <w:r/>
      <w:bookmarkStart w:id="55" w:name="_Toc20823277"/>
      <w:r/>
      <w:bookmarkStart w:id="56" w:name="_Toc16938521"/>
      <w:r>
        <w:rPr>
          <w:rFonts w:hint="eastAsia" w:ascii="Arial" w:hAnsi="Arial" w:eastAsia="黑体" w:cs="Arial"/>
          <w:color w:val="auto"/>
          <w:sz w:val="28"/>
          <w:szCs w:val="28"/>
          <w:highlight w:val="none"/>
        </w:rPr>
        <w:t xml:space="preserve">2、合格的投标人</w:t>
      </w:r>
      <w:bookmarkEnd w:id="54"/>
      <w:r/>
      <w:bookmarkEnd w:id="55"/>
      <w:r/>
      <w:bookmarkEnd w:id="56"/>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2.1满足招标公告中投标人的资格要求的规定。</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 满足本文件实质性要求和条件的规定。</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57" w:name="_Toc16938522"/>
      <w:r/>
      <w:bookmarkStart w:id="58" w:name="_Toc20823278"/>
      <w:r/>
      <w:bookmarkStart w:id="59" w:name="_Toc513029206"/>
      <w:r>
        <w:rPr>
          <w:rFonts w:hint="eastAsia" w:ascii="Arial" w:hAnsi="Arial" w:eastAsia="黑体" w:cs="Arial"/>
          <w:color w:val="auto"/>
          <w:sz w:val="28"/>
          <w:szCs w:val="28"/>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60" w:name="_Toc20823279"/>
      <w:r/>
      <w:bookmarkStart w:id="61" w:name="_Toc462564067"/>
      <w:r/>
      <w:bookmarkStart w:id="62" w:name="_Toc16938523"/>
      <w:r/>
      <w:bookmarkStart w:id="63" w:name="_Toc513029207"/>
      <w:r>
        <w:rPr>
          <w:rFonts w:hint="eastAsia" w:ascii="Arial" w:hAnsi="Arial" w:eastAsia="黑体" w:cs="Arial"/>
          <w:color w:val="auto"/>
          <w:sz w:val="28"/>
          <w:szCs w:val="28"/>
          <w:highlight w:val="none"/>
        </w:rPr>
        <w:t xml:space="preserve">4、投标费用</w:t>
      </w:r>
      <w:bookmarkEnd w:id="60"/>
      <w:r/>
      <w:bookmarkEnd w:id="61"/>
      <w:r/>
      <w:bookmarkEnd w:id="62"/>
      <w:r/>
      <w:bookmarkEnd w:id="63"/>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4.1 投标人应自行承担所有与参加投标有关的费用，无论投标过程中的做法和结果如何，采购人在任何情况下均无义务和责任承担这些费用。</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4.2本次招标交易中心和采购人不收取标书工本费与中标服务费。</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1"/>
          <w:highlight w:val="none"/>
        </w:rPr>
        <w:t xml:space="preserve">4.3本次项目招标代理费</w:t>
      </w:r>
      <w:r>
        <w:rPr>
          <w:rFonts w:hint="eastAsia" w:ascii="宋体" w:hAnsi="宋体"/>
          <w:color w:val="auto"/>
          <w:sz w:val="24"/>
          <w:szCs w:val="21"/>
          <w:highlight w:val="none"/>
          <w:lang w:eastAsia="zh-CN"/>
        </w:rPr>
        <w:t xml:space="preserve">：</w:t>
      </w:r>
      <w:r>
        <w:rPr>
          <w:rFonts w:ascii="宋体" w:hAnsi="宋体" w:cs="宋体"/>
          <w:color w:val="auto"/>
          <w:sz w:val="24"/>
          <w:szCs w:val="24"/>
          <w:highlight w:val="none"/>
        </w:rPr>
        <w:t xml:space="preserve">按照《关于印发江苏省招标代理服务收费的指导意见》苏招协【2022】002文差额定率分档累进法计算汇总后的</w:t>
      </w: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0%计取，由</w:t>
      </w:r>
      <w:r>
        <w:rPr>
          <w:rFonts w:hint="eastAsia" w:ascii="宋体" w:hAnsi="宋体" w:cs="宋体"/>
          <w:color w:val="auto"/>
          <w:sz w:val="24"/>
          <w:szCs w:val="24"/>
          <w:highlight w:val="none"/>
          <w:lang w:val="en-US" w:eastAsia="zh-CN"/>
        </w:rPr>
        <w:t xml:space="preserve">中标</w:t>
      </w:r>
      <w:r>
        <w:rPr>
          <w:rFonts w:ascii="宋体" w:hAnsi="宋体" w:cs="宋体"/>
          <w:color w:val="auto"/>
          <w:sz w:val="24"/>
          <w:szCs w:val="24"/>
          <w:highlight w:val="none"/>
        </w:rPr>
        <w:t xml:space="preserve">单位支付，报价时综合考虑。</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1375" cy="71818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6.2pt;height:56.5pt;mso-wrap-distance-left:0.0pt;mso-wrap-distance-top:0.0pt;mso-wrap-distance-right:0.0pt;mso-wrap-distance-bottom:0.0pt;" stroked="f">
                <v:path textboxrect="0,0,0,0"/>
                <v:imagedata r:id="rId20" o:title=""/>
              </v:shape>
            </w:pict>
          </mc:Fallback>
        </mc:AlternateConten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金额高于50万元的计算：【1万元+（成交价-50万元）*1.5%】*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0%</w:t>
      </w:r>
      <w:r/>
    </w:p>
    <w:p>
      <w:pPr>
        <w:ind w:firstLine="602"/>
        <w:keepLines/>
        <w:keepNext/>
        <w:pageBreakBefore w:val="0"/>
        <w:spacing w:line="360" w:lineRule="auto"/>
        <w:widowControl w:val="off"/>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before="145" w:after="145" w:line="360" w:lineRule="auto"/>
        <w:widowControl w:val="off"/>
        <w:rPr>
          <w:rFonts w:hint="eastAsia"/>
          <w:b/>
          <w:bCs/>
          <w:color w:val="auto"/>
          <w:sz w:val="32"/>
          <w:szCs w:val="32"/>
          <w:highlight w:val="none"/>
        </w:rPr>
        <w:outlineLvl w:val="2"/>
      </w:pPr>
      <w:r/>
      <w:bookmarkStart w:id="64" w:name="_Toc120614215"/>
      <w:r/>
      <w:bookmarkStart w:id="65" w:name="_Toc513029209"/>
      <w:r/>
      <w:bookmarkStart w:id="66" w:name="_Toc20823281"/>
      <w:r/>
      <w:bookmarkStart w:id="67" w:name="_Toc16938525"/>
      <w:r>
        <w:rPr>
          <w:rFonts w:hint="eastAsia"/>
          <w:b/>
          <w:bCs/>
          <w:color w:val="auto"/>
          <w:sz w:val="32"/>
          <w:szCs w:val="32"/>
          <w:highlight w:val="none"/>
        </w:rPr>
        <w:t xml:space="preserve">二、招标文件</w:t>
      </w:r>
      <w:bookmarkEnd w:id="64"/>
      <w:r/>
      <w:bookmarkEnd w:id="65"/>
      <w:r/>
      <w:bookmarkEnd w:id="66"/>
      <w:r/>
      <w:bookmarkEnd w:id="67"/>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68" w:name="_Toc16938526"/>
      <w:r/>
      <w:bookmarkStart w:id="69" w:name="_Toc513029210"/>
      <w:r/>
      <w:bookmarkStart w:id="70" w:name="_Toc20823282"/>
      <w:r>
        <w:rPr>
          <w:rFonts w:hint="eastAsia" w:ascii="Arial" w:hAnsi="Arial" w:eastAsia="黑体" w:cs="Arial"/>
          <w:color w:val="auto"/>
          <w:sz w:val="28"/>
          <w:szCs w:val="28"/>
          <w:highlight w:val="none"/>
        </w:rPr>
        <w:t xml:space="preserve">6、招标文件构成</w:t>
      </w:r>
      <w:bookmarkEnd w:id="68"/>
      <w:r/>
      <w:bookmarkEnd w:id="69"/>
      <w:r/>
      <w:bookmarkEnd w:id="70"/>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pageBreakBefore w:val="0"/>
        <w:spacing w:line="360" w:lineRule="auto"/>
        <w:widowControl w:val="off"/>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71" w:name="_Toc462564070"/>
      <w:r/>
      <w:bookmarkStart w:id="72" w:name="_Toc20823283"/>
      <w:r/>
      <w:bookmarkStart w:id="73" w:name="_Toc16938527"/>
      <w:r/>
      <w:bookmarkStart w:id="74" w:name="_Toc513029211"/>
      <w:r>
        <w:rPr>
          <w:rFonts w:hint="eastAsia" w:ascii="Arial" w:hAnsi="Arial" w:eastAsia="黑体" w:cs="Arial"/>
          <w:color w:val="auto"/>
          <w:sz w:val="28"/>
          <w:szCs w:val="28"/>
          <w:highlight w:val="none"/>
        </w:rPr>
        <w:t xml:space="preserve">7、招标文件的澄清</w:t>
      </w:r>
      <w:bookmarkEnd w:id="71"/>
      <w:r/>
      <w:bookmarkEnd w:id="72"/>
      <w:r/>
      <w:bookmarkEnd w:id="73"/>
      <w:r/>
      <w:bookmarkEnd w:id="74"/>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7.1 </w:t>
      </w:r>
      <w:bookmarkStart w:id="75" w:name="_Toc16938528"/>
      <w:r/>
      <w:bookmarkStart w:id="76" w:name="_Toc513029212"/>
      <w:r/>
      <w:bookmarkStart w:id="77" w:name="_Toc462564071"/>
      <w:r/>
      <w:bookmarkStart w:id="78" w:name="_Toc20823284"/>
      <w:r>
        <w:rPr>
          <w:rFonts w:hint="eastAsia" w:ascii="宋体" w:hAnsi="宋体"/>
          <w:color w:val="auto"/>
          <w:sz w:val="24"/>
          <w:szCs w:val="21"/>
          <w:highlight w:val="none"/>
        </w:rPr>
        <w:t xml:space="preserve">任何要求对招标文件进行澄清的投标人，应在投标截止期十日前按招标公告中的通讯地址，以书面形式通知</w:t>
      </w:r>
      <w:r>
        <w:rPr>
          <w:rFonts w:hint="eastAsia" w:ascii="宋体" w:hAnsi="宋体"/>
          <w:color w:val="auto"/>
          <w:sz w:val="24"/>
          <w:highlight w:val="none"/>
        </w:rPr>
        <w:t xml:space="preserve">采购人及代理机构</w:t>
      </w:r>
      <w:r>
        <w:rPr>
          <w:rFonts w:hint="eastAsia" w:ascii="宋体" w:hAnsi="宋体"/>
          <w:color w:val="auto"/>
          <w:sz w:val="24"/>
          <w:szCs w:val="21"/>
          <w:highlight w:val="none"/>
        </w:rPr>
        <w:t xml:space="preserve">。采购人有权对发出的招标文件进行必要的澄清或修改。</w:t>
      </w:r>
      <w:r/>
    </w:p>
    <w:p>
      <w:pPr>
        <w:ind w:firstLine="560"/>
        <w:pageBreakBefore w:val="0"/>
        <w:spacing w:line="360" w:lineRule="auto"/>
        <w:widowControl w:val="off"/>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 xml:space="preserve">8、招标文件的修改</w:t>
      </w:r>
      <w:bookmarkEnd w:id="75"/>
      <w:r/>
      <w:bookmarkEnd w:id="76"/>
      <w:r/>
      <w:bookmarkEnd w:id="77"/>
      <w:r/>
      <w:bookmarkEnd w:id="78"/>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在投标截止时间十五日</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，采购人可以对招标文件进行修改。</w:t>
      </w:r>
      <w:r/>
    </w:p>
    <w:p>
      <w:pPr>
        <w:ind w:firstLine="480"/>
        <w:pageBreakBefore w:val="0"/>
        <w:spacing w:line="360" w:lineRule="auto"/>
        <w:widowControl w:val="off"/>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采购人</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pageBreakBefore w:val="0"/>
        <w:spacing w:before="145" w:after="145" w:line="360" w:lineRule="auto"/>
        <w:widowControl w:val="off"/>
        <w:rPr>
          <w:rFonts w:hint="eastAsia"/>
          <w:b/>
          <w:bCs/>
          <w:color w:val="auto"/>
          <w:sz w:val="32"/>
          <w:szCs w:val="32"/>
          <w:highlight w:val="none"/>
        </w:rPr>
        <w:outlineLvl w:val="2"/>
      </w:pPr>
      <w:r/>
      <w:bookmarkStart w:id="79" w:name="_Toc462564072"/>
      <w:r/>
      <w:bookmarkStart w:id="80" w:name="_Toc513029213"/>
      <w:r/>
      <w:bookmarkStart w:id="81" w:name="_Toc120614216"/>
      <w:r/>
      <w:bookmarkStart w:id="82" w:name="_Toc20823285"/>
      <w:r/>
      <w:bookmarkStart w:id="83" w:name="_Toc16938529"/>
      <w:r>
        <w:rPr>
          <w:rFonts w:hint="eastAsia"/>
          <w:b/>
          <w:bCs/>
          <w:color w:val="auto"/>
          <w:sz w:val="32"/>
          <w:szCs w:val="32"/>
          <w:highlight w:val="none"/>
        </w:rPr>
        <w:t xml:space="preserve">三、投标文件的编制</w:t>
      </w:r>
      <w:bookmarkEnd w:id="79"/>
      <w:r/>
      <w:bookmarkEnd w:id="80"/>
      <w:r/>
      <w:bookmarkEnd w:id="81"/>
      <w:r/>
      <w:bookmarkEnd w:id="82"/>
      <w:r/>
      <w:bookmarkEnd w:id="83"/>
      <w:r/>
      <w:r/>
    </w:p>
    <w:p>
      <w:pPr>
        <w:ind w:firstLine="560"/>
        <w:keepLines/>
        <w:keepNext/>
        <w:pageBreakBefore w:val="0"/>
        <w:spacing w:line="360" w:lineRule="auto"/>
        <w:widowControl w:val="off"/>
        <w:rPr>
          <w:rFonts w:hint="eastAsia" w:ascii="Arial" w:hAnsi="Arial" w:eastAsia="黑体" w:cs="Arial"/>
          <w:b/>
          <w:color w:val="auto"/>
          <w:sz w:val="28"/>
          <w:szCs w:val="28"/>
          <w:highlight w:val="none"/>
        </w:rPr>
        <w:outlineLvl w:val="3"/>
      </w:pPr>
      <w:r/>
      <w:bookmarkStart w:id="84" w:name="_Toc462564073"/>
      <w:r/>
      <w:bookmarkStart w:id="85" w:name="_Toc20823286"/>
      <w:r/>
      <w:bookmarkStart w:id="86" w:name="_Toc513029214"/>
      <w:r/>
      <w:bookmarkStart w:id="87" w:name="_Toc16938530"/>
      <w:r>
        <w:rPr>
          <w:rFonts w:hint="eastAsia" w:ascii="Arial" w:hAnsi="Arial" w:eastAsia="黑体" w:cs="Arial"/>
          <w:color w:val="auto"/>
          <w:sz w:val="28"/>
          <w:szCs w:val="28"/>
          <w:highlight w:val="none"/>
        </w:rPr>
        <w:t xml:space="preserve">9、投标文件的语言及度量衡单位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88" w:name="_Toc462564074"/>
      <w:r/>
      <w:bookmarkStart w:id="89" w:name="_Toc16938531"/>
      <w:r/>
      <w:bookmarkStart w:id="90" w:name="_Toc513029215"/>
      <w:r/>
      <w:bookmarkStart w:id="91" w:name="_Toc20823287"/>
      <w:r>
        <w:rPr>
          <w:rFonts w:hint="eastAsia" w:ascii="Arial" w:hAnsi="Arial" w:eastAsia="黑体" w:cs="Arial"/>
          <w:color w:val="auto"/>
          <w:sz w:val="28"/>
          <w:szCs w:val="28"/>
          <w:highlight w:val="none"/>
        </w:rPr>
        <w:t xml:space="preserve">10、投标文件构成</w:t>
      </w:r>
      <w:bookmarkEnd w:id="88"/>
      <w:r/>
      <w:bookmarkEnd w:id="89"/>
      <w:r/>
      <w:bookmarkEnd w:id="90"/>
      <w:r/>
      <w:bookmarkEnd w:id="91"/>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投标人编写的投标文件应包括资格证明文件、符合性证明文件、投标分项报价表、技术要求响应及偏离表、商务要求响应及偏离表、其他证明文件、投标响应函、开标一览表等部分。</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如标书制作工具中格式和内容与“江苏政府采购网”发布的招标文件不一致，请以“江苏政府采购网”发布的招标文件为准。</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92" w:name="_Hlt26670360"/>
      <w:r/>
      <w:bookmarkEnd w:id="92"/>
      <w:r/>
      <w:bookmarkStart w:id="93" w:name="_Hlt26954838"/>
      <w:r/>
      <w:bookmarkEnd w:id="93"/>
      <w:r/>
      <w:bookmarkStart w:id="94" w:name="_Hlt26668975"/>
      <w:r/>
      <w:bookmarkEnd w:id="94"/>
      <w:r/>
      <w:bookmarkStart w:id="95" w:name="_Toc513029219"/>
      <w:r/>
      <w:bookmarkStart w:id="96" w:name="_Toc49090509"/>
      <w:r/>
      <w:bookmarkStart w:id="97" w:name="_Toc14577357"/>
      <w:r/>
      <w:bookmarkStart w:id="98" w:name="_Toc513029216"/>
      <w:r/>
      <w:bookmarkStart w:id="99" w:name="_Toc14577354"/>
      <w:r/>
      <w:bookmarkStart w:id="100" w:name="_Toc49090507"/>
      <w:r/>
      <w:bookmarkStart w:id="101" w:name="_Toc49090508"/>
      <w:r/>
      <w:bookmarkStart w:id="102" w:name="_Toc14577355"/>
      <w:r>
        <w:rPr>
          <w:rFonts w:hint="eastAsia" w:ascii="Arial" w:hAnsi="Arial" w:eastAsia="黑体" w:cs="Arial"/>
          <w:color w:val="auto"/>
          <w:sz w:val="28"/>
          <w:szCs w:val="28"/>
          <w:highlight w:val="none"/>
        </w:rPr>
        <w:t xml:space="preserve">11、证明投标人及投标标的符合招标文件规定的文件</w:t>
      </w:r>
      <w:bookmarkEnd w:id="95"/>
      <w:r/>
      <w:bookmarkEnd w:id="96"/>
      <w:r/>
      <w:bookmarkEnd w:id="97"/>
      <w:r/>
      <w:bookmarkEnd w:id="98"/>
      <w:bookmarkEnd w:id="99"/>
      <w:bookmarkEnd w:id="100"/>
      <w:r/>
    </w:p>
    <w:p>
      <w:pPr>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11.1 投标人应按照招标文件要求提交证明文件，证明其及投标标的符合招标文件规定。</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01"/>
      <w:bookmarkEnd w:id="102"/>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12、投标分项报价表</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投标人应按照招标文件规定格式填报投标分项报价表。</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03" w:name="_Hlt26670486"/>
      <w:r/>
      <w:bookmarkEnd w:id="103"/>
      <w:r/>
      <w:bookmarkStart w:id="104" w:name="_Hlt26954848"/>
      <w:r/>
      <w:bookmarkEnd w:id="104"/>
      <w:r/>
      <w:bookmarkStart w:id="105" w:name="_Hlt26670482"/>
      <w:r/>
      <w:bookmarkEnd w:id="105"/>
      <w:r/>
      <w:bookmarkStart w:id="106" w:name="_Hlt26954846"/>
      <w:r/>
      <w:bookmarkEnd w:id="106"/>
      <w:r/>
      <w:bookmarkStart w:id="107" w:name="_Hlt26954731"/>
      <w:r/>
      <w:bookmarkEnd w:id="107"/>
      <w:r>
        <w:rPr>
          <w:rFonts w:hint="eastAsia" w:ascii="Arial" w:hAnsi="Arial" w:eastAsia="黑体" w:cs="Arial"/>
          <w:color w:val="auto"/>
          <w:sz w:val="28"/>
          <w:szCs w:val="28"/>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 投标人需根据招标文件要求提供培训计划。</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08" w:name="_Toc14577359"/>
      <w:r/>
      <w:bookmarkStart w:id="109" w:name="_Toc49090510"/>
      <w:r>
        <w:rPr>
          <w:rFonts w:hint="eastAsia" w:ascii="Arial" w:hAnsi="Arial" w:eastAsia="黑体" w:cs="Arial"/>
          <w:color w:val="auto"/>
          <w:sz w:val="28"/>
          <w:szCs w:val="28"/>
          <w:highlight w:val="none"/>
        </w:rPr>
        <w:t xml:space="preserve">15、投标响应函和开标一览表</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投标人应按照招标文件中提供的格式完整、正确填写投标响应函、开标一览表。</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08"/>
      <w:bookmarkEnd w:id="109"/>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10" w:name="_Toc14577360"/>
      <w:r/>
      <w:bookmarkStart w:id="111" w:name="_Toc49090511"/>
      <w:r>
        <w:rPr>
          <w:rFonts w:hint="eastAsia" w:ascii="Arial" w:hAnsi="Arial" w:eastAsia="黑体" w:cs="Arial"/>
          <w:color w:val="auto"/>
          <w:sz w:val="28"/>
          <w:szCs w:val="28"/>
          <w:highlight w:val="none"/>
        </w:rPr>
        <w:t xml:space="preserve">16、投标有效期</w:t>
      </w:r>
      <w:bookmarkEnd w:id="110"/>
      <w:r/>
      <w:bookmarkEnd w:id="111"/>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于原投标有效期满之前，可向投标人提出延长投标有效期的要求。这种要求与答复均应采用书面形式。投标人可以拒绝</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keepLines/>
        <w:keepNext/>
        <w:pageBreakBefore w:val="0"/>
        <w:spacing w:before="145" w:after="145" w:line="360" w:lineRule="auto"/>
        <w:widowControl w:val="off"/>
        <w:rPr>
          <w:rFonts w:hint="eastAsia"/>
          <w:b/>
          <w:bCs/>
          <w:color w:val="auto"/>
          <w:sz w:val="32"/>
          <w:szCs w:val="32"/>
          <w:highlight w:val="none"/>
        </w:rPr>
        <w:outlineLvl w:val="2"/>
      </w:pPr>
      <w:r/>
      <w:bookmarkStart w:id="112" w:name="_Hlt26954739"/>
      <w:r/>
      <w:bookmarkEnd w:id="112"/>
      <w:r/>
      <w:bookmarkStart w:id="113" w:name="_Hlt26954852"/>
      <w:r/>
      <w:bookmarkEnd w:id="113"/>
      <w:r/>
      <w:bookmarkStart w:id="114" w:name="_Toc16938540"/>
      <w:r/>
      <w:bookmarkStart w:id="115" w:name="_Toc120614217"/>
      <w:r/>
      <w:bookmarkStart w:id="116" w:name="_Toc513029224"/>
      <w:r/>
      <w:bookmarkStart w:id="117" w:name="_Toc20823296"/>
      <w:r>
        <w:rPr>
          <w:rFonts w:hint="eastAsia"/>
          <w:b/>
          <w:bCs/>
          <w:color w:val="auto"/>
          <w:sz w:val="32"/>
          <w:szCs w:val="32"/>
          <w:highlight w:val="none"/>
        </w:rPr>
        <w:t xml:space="preserve">四、投标文件的递交</w:t>
      </w:r>
      <w:bookmarkEnd w:id="114"/>
      <w:r/>
      <w:bookmarkEnd w:id="115"/>
      <w:r/>
      <w:bookmarkEnd w:id="116"/>
      <w:r/>
      <w:bookmarkEnd w:id="117"/>
      <w:r/>
      <w:r/>
    </w:p>
    <w:p>
      <w:pPr>
        <w:ind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bookmarkStart w:id="118" w:name="_Toc513029225"/>
      <w:r/>
      <w:bookmarkStart w:id="119" w:name="_Toc16938541"/>
      <w:r/>
      <w:bookmarkStart w:id="120" w:name="_Toc20823297"/>
      <w:r/>
      <w:bookmarkStart w:id="121" w:name="_Toc46256408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18"/>
      <w:r/>
      <w:bookmarkEnd w:id="119"/>
      <w:r/>
      <w:bookmarkEnd w:id="120"/>
      <w:r/>
      <w:bookmarkEnd w:id="121"/>
      <w:r>
        <w:rPr>
          <w:rFonts w:hint="eastAsia" w:ascii="黑体" w:hAnsi="Arial" w:eastAsia="黑体" w:cs="Arial"/>
          <w:color w:val="auto"/>
          <w:sz w:val="28"/>
          <w:szCs w:val="28"/>
          <w:highlight w:val="none"/>
        </w:rPr>
        <w:t xml:space="preserve">的递交</w:t>
      </w:r>
      <w:r/>
    </w:p>
    <w:p>
      <w:pPr>
        <w:ind w:left="525"/>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22" w:name="_Toc16938542"/>
      <w:r/>
      <w:bookmarkStart w:id="123" w:name="_Toc20823298"/>
      <w:r/>
      <w:bookmarkStart w:id="124" w:name="_Toc513029226"/>
      <w:r/>
      <w:r/>
    </w:p>
    <w:p>
      <w:pPr>
        <w:ind w:firstLine="482"/>
        <w:pageBreakBefore w:val="0"/>
        <w:spacing w:line="360" w:lineRule="auto"/>
        <w:widowControl w:val="off"/>
        <w:rPr>
          <w:rFonts w:hint="eastAsia" w:ascii="宋体" w:hAnsi="宋体"/>
          <w:b/>
          <w:color w:val="auto"/>
          <w:sz w:val="24"/>
          <w:szCs w:val="21"/>
          <w:highlight w:val="none"/>
        </w:rPr>
      </w:pPr>
      <w:r>
        <w:rPr>
          <w:rFonts w:ascii="宋体" w:hAnsi="宋体"/>
          <w:b/>
          <w:color w:val="auto"/>
          <w:sz w:val="24"/>
          <w:szCs w:val="21"/>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19、投标截止日期</w:t>
      </w:r>
      <w:bookmarkEnd w:id="122"/>
      <w:r/>
      <w:bookmarkEnd w:id="123"/>
      <w:r/>
      <w:bookmarkEnd w:id="124"/>
      <w:r/>
      <w:r/>
    </w:p>
    <w:p>
      <w:pPr>
        <w:ind w:firstLine="480"/>
        <w:pageBreakBefore w:val="0"/>
        <w:spacing w:line="360" w:lineRule="auto"/>
        <w:widowControl w:val="off"/>
        <w:rPr>
          <w:rFonts w:hint="eastAsia" w:ascii="宋体" w:hAnsi="宋体"/>
          <w:bCs/>
          <w:i/>
          <w:iCs w:val="0"/>
          <w:color w:val="auto"/>
          <w:sz w:val="24"/>
          <w:szCs w:val="21"/>
          <w:highlight w:val="none"/>
          <w:u w:val="single"/>
        </w:rPr>
      </w:pPr>
      <w:r>
        <w:rPr>
          <w:rFonts w:ascii="宋体" w:hAnsi="宋体"/>
          <w:i/>
          <w:iCs w:val="0"/>
          <w:color w:val="auto"/>
          <w:sz w:val="24"/>
          <w:szCs w:val="21"/>
          <w:highlight w:val="none"/>
          <w:u w:val="single"/>
        </w:rPr>
        <w:t xml:space="preserve">19</w:t>
      </w:r>
      <w:r>
        <w:rPr>
          <w:rFonts w:hint="eastAsia" w:ascii="宋体" w:hAnsi="宋体"/>
          <w:i/>
          <w:iCs w:val="0"/>
          <w:color w:val="auto"/>
          <w:sz w:val="24"/>
          <w:szCs w:val="21"/>
          <w:highlight w:val="none"/>
          <w:u w:val="single"/>
        </w:rPr>
        <w:t xml:space="preserve">.1</w:t>
      </w:r>
      <w:r>
        <w:rPr>
          <w:rFonts w:hint="eastAsia" w:ascii="宋体" w:hAnsi="宋体"/>
          <w:bCs/>
          <w:i/>
          <w:iCs w:val="0"/>
          <w:color w:val="auto"/>
          <w:sz w:val="24"/>
          <w:szCs w:val="21"/>
          <w:highlight w:val="none"/>
          <w:u w:val="single"/>
        </w:rPr>
        <w:t xml:space="preserve"> 投标人上传电子投标文件的时间不得迟于招标公告中规定的投标截止时间。</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25" w:name="_Toc513029227"/>
      <w:r/>
      <w:bookmarkStart w:id="126" w:name="_Toc16938543"/>
      <w:r/>
      <w:bookmarkStart w:id="127" w:name="_Toc2082329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125"/>
      <w:r/>
      <w:bookmarkEnd w:id="126"/>
      <w:r/>
      <w:bookmarkEnd w:id="127"/>
      <w:r>
        <w:rPr>
          <w:rFonts w:hint="eastAsia" w:ascii="Arial" w:hAnsi="Arial" w:eastAsia="黑体" w:cs="Arial"/>
          <w:color w:val="auto"/>
          <w:sz w:val="28"/>
          <w:szCs w:val="28"/>
          <w:highlight w:val="none"/>
        </w:rPr>
        <w:t xml:space="preserve">的拒收</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20.1 </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拒绝接收在其规定的投标截止时间后上传的任何投标文件。</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28" w:name="_Toc16938544"/>
      <w:r/>
      <w:bookmarkStart w:id="129" w:name="_Toc513029228"/>
      <w:r/>
      <w:bookmarkStart w:id="130"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128"/>
      <w:r/>
      <w:bookmarkEnd w:id="129"/>
      <w:r/>
      <w:bookmarkEnd w:id="130"/>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before="145" w:after="145" w:line="360" w:lineRule="auto"/>
        <w:widowControl w:val="off"/>
        <w:rPr>
          <w:rFonts w:hint="eastAsia"/>
          <w:b/>
          <w:bCs/>
          <w:color w:val="auto"/>
          <w:sz w:val="32"/>
          <w:szCs w:val="32"/>
          <w:highlight w:val="none"/>
        </w:rPr>
        <w:outlineLvl w:val="2"/>
      </w:pPr>
      <w:r/>
      <w:bookmarkStart w:id="131" w:name="_Toc20823301"/>
      <w:r/>
      <w:bookmarkStart w:id="132" w:name="_Toc120614218"/>
      <w:r/>
      <w:bookmarkStart w:id="133" w:name="_Toc16938545"/>
      <w:r/>
      <w:bookmarkStart w:id="134" w:name="_Toc513029229"/>
      <w:r>
        <w:rPr>
          <w:rFonts w:hint="eastAsia"/>
          <w:b/>
          <w:bCs/>
          <w:color w:val="auto"/>
          <w:sz w:val="32"/>
          <w:szCs w:val="32"/>
          <w:highlight w:val="none"/>
        </w:rPr>
        <w:t xml:space="preserve">五、开标与评标</w:t>
      </w:r>
      <w:bookmarkEnd w:id="131"/>
      <w:r/>
      <w:bookmarkEnd w:id="132"/>
      <w:r/>
      <w:bookmarkEnd w:id="133"/>
      <w:r/>
      <w:bookmarkEnd w:id="134"/>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35" w:name="_Toc513029230"/>
      <w:r/>
      <w:bookmarkStart w:id="136" w:name="_Toc16938546"/>
      <w:r/>
      <w:bookmarkStart w:id="137" w:name="_Toc20823302"/>
      <w:r>
        <w:rPr>
          <w:rFonts w:hint="eastAsia" w:ascii="Arial" w:hAnsi="Arial" w:eastAsia="黑体" w:cs="Arial"/>
          <w:color w:val="auto"/>
          <w:sz w:val="28"/>
          <w:szCs w:val="28"/>
          <w:highlight w:val="none"/>
        </w:rPr>
        <w:t xml:space="preserve">22、开标</w:t>
      </w:r>
      <w:bookmarkEnd w:id="135"/>
      <w:r/>
      <w:bookmarkEnd w:id="136"/>
      <w:r/>
      <w:bookmarkEnd w:id="137"/>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.1 采购代理机构将在招标公告中规定的时间和地点组织公开开标。投标人应当按照《操作手册》规定，</w:t>
      </w:r>
      <w:r>
        <w:rPr>
          <w:rFonts w:ascii="宋体" w:hAnsi="宋体"/>
          <w:bCs/>
          <w:color w:val="auto"/>
          <w:sz w:val="24"/>
          <w:szCs w:val="21"/>
          <w:highlight w:val="none"/>
        </w:rPr>
        <w:t xml:space="preserve">参加开标活动</w:t>
      </w:r>
      <w:r>
        <w:rPr>
          <w:rFonts w:hint="eastAsia" w:ascii="宋体" w:hAnsi="宋体"/>
          <w:bCs/>
          <w:color w:val="auto"/>
          <w:sz w:val="24"/>
          <w:szCs w:val="21"/>
          <w:highlight w:val="none"/>
        </w:rPr>
        <w:t xml:space="preserve">和在苏采云系统规定的时间内对投标文件进行解密。</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.2开标仪式由采购代理机构组织。苏采云系统将自动对</w:t>
      </w:r>
      <w:r>
        <w:rPr>
          <w:rFonts w:ascii="宋体" w:hAnsi="宋体"/>
          <w:bCs/>
          <w:color w:val="auto"/>
          <w:sz w:val="24"/>
          <w:szCs w:val="21"/>
          <w:highlight w:val="none"/>
        </w:rPr>
        <w:t xml:space="preserve">项目进行开标，</w:t>
      </w:r>
      <w:r>
        <w:rPr>
          <w:rFonts w:hint="eastAsia" w:ascii="宋体" w:hAnsi="宋体"/>
          <w:bCs/>
          <w:color w:val="auto"/>
          <w:sz w:val="24"/>
          <w:szCs w:val="21"/>
          <w:highlight w:val="none"/>
        </w:rPr>
        <w:t xml:space="preserve">并宣布各投标人名称和投标价格。</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38" w:name="_Toc20823303"/>
      <w:r/>
      <w:bookmarkStart w:id="139" w:name="_Toc16938547"/>
      <w:r/>
      <w:bookmarkStart w:id="140"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 开标后，采购人将立即组织评标委员会（以下简称评委会）进行评标。</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.2 评委会由采购人代表和有关技术、经济等方面的专家组成，且人员构成符合政府采购有关规定。</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.3评委会独立工作，负责评审所有投标文件并确定中标候选人。</w:t>
      </w:r>
      <w:r/>
    </w:p>
    <w:p>
      <w:pPr>
        <w:ind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138"/>
      <w:bookmarkEnd w:id="139"/>
      <w:bookmarkEnd w:id="140"/>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41" w:name="_Toc16938548"/>
      <w:r/>
      <w:bookmarkStart w:id="142" w:name="_Toc513029232"/>
      <w:r/>
      <w:bookmarkStart w:id="143"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141"/>
      <w:r/>
      <w:bookmarkEnd w:id="142"/>
      <w:r/>
      <w:bookmarkEnd w:id="143"/>
      <w:r/>
      <w:r/>
    </w:p>
    <w:p>
      <w:pPr>
        <w:ind w:firstLine="480"/>
        <w:pageBreakBefore w:val="0"/>
        <w:spacing w:line="360" w:lineRule="auto"/>
        <w:widowControl w:val="off"/>
        <w:rPr>
          <w:rFonts w:ascii="宋体" w:hAnsi="宋体"/>
          <w:color w:val="auto"/>
          <w:sz w:val="24"/>
          <w:szCs w:val="24"/>
          <w:highlight w:val="none"/>
        </w:rPr>
      </w:pPr>
      <w:r/>
      <w:bookmarkStart w:id="144" w:name="_Toc16938549"/>
      <w:r/>
      <w:bookmarkStart w:id="145" w:name="_Toc20823305"/>
      <w:r/>
      <w:bookmarkStart w:id="146" w:name="_Toc513029233"/>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144"/>
      <w:r/>
      <w:bookmarkEnd w:id="145"/>
      <w:r/>
      <w:bookmarkEnd w:id="146"/>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pageBreakBefore w:val="0"/>
        <w:spacing w:line="360" w:lineRule="auto"/>
        <w:widowControl w:val="off"/>
        <w:rPr>
          <w:rFonts w:ascii="宋体" w:hAnsi="宋体"/>
          <w:color w:val="auto"/>
          <w:sz w:val="24"/>
          <w:szCs w:val="21"/>
          <w:highlight w:val="none"/>
        </w:rPr>
      </w:pPr>
      <w:r/>
      <w:bookmarkStart w:id="147" w:name="_Toc20823306"/>
      <w:r/>
      <w:bookmarkStart w:id="148" w:name="_Toc16938550"/>
      <w:r/>
      <w:bookmarkStart w:id="149"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bookmarkStart w:id="150" w:name="_Hlk162812278"/>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pageBreakBefore w:val="0"/>
        <w:spacing w:line="360" w:lineRule="auto"/>
        <w:widowControl w:val="off"/>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bookmarkEnd w:id="150"/>
      <w:r/>
    </w:p>
    <w:p>
      <w:pPr>
        <w:ind w:firstLine="420"/>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w:t>
      </w:r>
      <w:r>
        <w:rPr>
          <w:rFonts w:hint="eastAsia" w:ascii="宋体" w:hAnsi="宋体"/>
          <w:bCs/>
          <w:color w:val="auto"/>
          <w:sz w:val="24"/>
          <w:szCs w:val="21"/>
          <w:highlight w:val="none"/>
        </w:rPr>
        <w:t xml:space="preserve">采购代理机构</w:t>
      </w:r>
      <w:r>
        <w:rPr>
          <w:rFonts w:hint="eastAsia" w:ascii="宋体" w:hAnsi="宋体"/>
          <w:color w:val="auto"/>
          <w:sz w:val="24"/>
          <w:szCs w:val="21"/>
          <w:highlight w:val="none"/>
        </w:rPr>
        <w:t xml:space="preserve">及评标委员会联系。</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val="en-US" w:eastAsia="zh-CN"/>
        </w:rPr>
        <w:t xml:space="preserve">27、</w:t>
      </w:r>
      <w:r>
        <w:rPr>
          <w:rFonts w:hint="eastAsia" w:ascii="Arial" w:hAnsi="Arial" w:eastAsia="黑体" w:cs="Arial"/>
          <w:color w:val="auto"/>
          <w:sz w:val="28"/>
          <w:szCs w:val="28"/>
          <w:highlight w:val="none"/>
          <w:lang w:eastAsia="zh-CN"/>
        </w:rPr>
        <w:t xml:space="preserve">异常低价审查</w:t>
      </w:r>
      <w:r/>
    </w:p>
    <w:p>
      <w:pPr>
        <w:ind w:firstLine="42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7</w:t>
      </w:r>
      <w:r>
        <w:rPr>
          <w:rFonts w:ascii="宋体" w:hAnsi="宋体" w:eastAsia="宋体" w:cs="Times New Roman"/>
          <w:color w:val="auto"/>
          <w:sz w:val="24"/>
          <w:szCs w:val="21"/>
          <w:highlight w:val="none"/>
          <w:lang w:val="en-US" w:eastAsia="zh-CN"/>
        </w:rPr>
        <w:t xml:space="preserve">.1根据省财政厅《关于推动解决政府采购异常低价问题相关工作的通知》（苏财购〔2025〕62号）要求，评审过程中出现下列情形之一的，评审委员会应当启动异常低价投标（响应）审查程序：</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rPr>
        <w:t xml:space="preserve">（1）</w:t>
      </w:r>
      <w:r>
        <w:rPr>
          <w:rFonts w:ascii="宋体" w:hAnsi="宋体" w:eastAsia="宋体" w:cs="Times New Roman"/>
          <w:color w:val="auto"/>
          <w:sz w:val="24"/>
          <w:szCs w:val="21"/>
          <w:highlight w:val="none"/>
          <w:lang w:val="en-US" w:eastAsia="zh-CN"/>
        </w:rPr>
        <w:t xml:space="preserve">投标(响应)报价低于采购项目预算50%的，即投标(响应)报价&lt;采购项目预算×50%;</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rPr>
        <w:t xml:space="preserve">（2）</w:t>
      </w:r>
      <w:r>
        <w:rPr>
          <w:rFonts w:ascii="宋体" w:hAnsi="宋体" w:eastAsia="宋体" w:cs="Times New Roman"/>
          <w:color w:val="auto"/>
          <w:sz w:val="24"/>
          <w:szCs w:val="21"/>
          <w:highlight w:val="none"/>
          <w:lang w:val="en-US" w:eastAsia="zh-CN"/>
        </w:rPr>
        <w:t xml:space="preserve">投标(响应)报价低于采购项目最高限价45%的，即投标(响应)报价&lt;采购项目最高限价×45%;</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rPr>
        <w:t xml:space="preserve">（3）</w:t>
      </w:r>
      <w:r>
        <w:rPr>
          <w:rFonts w:ascii="宋体" w:hAnsi="宋体" w:eastAsia="宋体" w:cs="Times New Roman"/>
          <w:color w:val="auto"/>
          <w:sz w:val="24"/>
          <w:szCs w:val="21"/>
          <w:highlight w:val="none"/>
          <w:lang w:val="en-US" w:eastAsia="zh-CN"/>
        </w:rPr>
        <w:t xml:space="preserve">评审委员会认定的供应商报价过低、有可能影响产品质量或者不能诚信履约的其他情形。</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7</w:t>
      </w:r>
      <w:r>
        <w:rPr>
          <w:rFonts w:ascii="宋体" w:hAnsi="宋体" w:eastAsia="宋体" w:cs="Times New Roman"/>
          <w:color w:val="auto"/>
          <w:sz w:val="24"/>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lang w:val="en-US" w:eastAsia="zh-CN"/>
        </w:rPr>
        <w:t xml:space="preserve">8</w:t>
      </w:r>
      <w:r>
        <w:rPr>
          <w:rFonts w:hint="eastAsia" w:ascii="Arial" w:hAnsi="Arial" w:eastAsia="黑体" w:cs="Arial"/>
          <w:color w:val="auto"/>
          <w:sz w:val="28"/>
          <w:szCs w:val="28"/>
          <w:highlight w:val="none"/>
        </w:rPr>
        <w:t xml:space="preserve">、</w:t>
      </w:r>
      <w:bookmarkEnd w:id="147"/>
      <w:r/>
      <w:bookmarkEnd w:id="148"/>
      <w:r/>
      <w:bookmarkEnd w:id="149"/>
      <w:r>
        <w:rPr>
          <w:rFonts w:hint="eastAsia" w:ascii="Arial" w:hAnsi="Arial" w:eastAsia="黑体" w:cs="Arial"/>
          <w:color w:val="auto"/>
          <w:sz w:val="28"/>
          <w:szCs w:val="28"/>
          <w:highlight w:val="none"/>
        </w:rPr>
        <w:t xml:space="preserve">无效投标条款和废标条款</w:t>
      </w:r>
      <w:r/>
    </w:p>
    <w:p>
      <w:pPr>
        <w:ind w:left="479"/>
        <w:pageBreakBefore w:val="0"/>
        <w:spacing w:line="360" w:lineRule="auto"/>
        <w:widowControl w:val="off"/>
        <w:rPr>
          <w:rFonts w:hint="eastAsia" w:ascii="宋体" w:hAnsi="宋体"/>
          <w:bCs/>
          <w:color w:val="auto"/>
          <w:sz w:val="24"/>
          <w:szCs w:val="21"/>
          <w:highlight w:val="none"/>
        </w:rPr>
      </w:pPr>
      <w:r/>
      <w:bookmarkStart w:id="151" w:name="_Toc20823307"/>
      <w:r/>
      <w:bookmarkStart w:id="152" w:name="_Toc513029235"/>
      <w:r/>
      <w:bookmarkStart w:id="153" w:name="_Toc16938551"/>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.1无效投标条款</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left="479"/>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479"/>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投标文件含有采购人不能接受的附加条件的。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.1.1</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 投标文件未按照招标文件要求加盖CA电子公章的。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.1.1</w:t>
      </w:r>
      <w:r>
        <w:rPr>
          <w:rFonts w:hint="eastAsia" w:ascii="宋体" w:hAnsi="宋体"/>
          <w:bCs/>
          <w:color w:val="auto"/>
          <w:sz w:val="24"/>
          <w:szCs w:val="21"/>
          <w:highlight w:val="none"/>
          <w:lang w:val="en-US" w:eastAsia="zh-CN"/>
        </w:rPr>
        <w:t xml:space="preserve">2</w:t>
      </w:r>
      <w:r>
        <w:rPr>
          <w:rFonts w:hint="eastAsia" w:ascii="宋体" w:hAnsi="宋体"/>
          <w:bCs/>
          <w:color w:val="auto"/>
          <w:sz w:val="24"/>
          <w:szCs w:val="21"/>
          <w:highlight w:val="none"/>
        </w:rPr>
        <w:t xml:space="preserve">其他法律、法规及本招标文件规定的属无效投标的情形。</w:t>
      </w:r>
      <w:r/>
    </w:p>
    <w:p>
      <w:pPr>
        <w:ind w:left="479"/>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.2废标条款</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.2.1符合专业条件的供应商或者对招标文件作实质响应的供应商不足三家的。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.2.2出现影响采购公正的违法、违规行为的。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.2.3因重大变故，采购任务取消的。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.2.4评标委员会认定招标文件存在歧义、重大缺陷导致评审工作无法进行。</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.2.5 因苏采云系统系统故障原因造成开标不成功的。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.3 投标截止时间结束后参加投标的供应商不足三家的处理：</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pageBreakBefore w:val="0"/>
        <w:spacing w:before="145" w:after="145" w:line="360" w:lineRule="auto"/>
        <w:widowControl w:val="off"/>
        <w:rPr>
          <w:rFonts w:hint="eastAsia"/>
          <w:b/>
          <w:bCs/>
          <w:color w:val="auto"/>
          <w:sz w:val="32"/>
          <w:szCs w:val="32"/>
          <w:highlight w:val="none"/>
        </w:rPr>
        <w:outlineLvl w:val="2"/>
      </w:pPr>
      <w:r/>
      <w:bookmarkStart w:id="154" w:name="_Toc120614219"/>
      <w:r>
        <w:rPr>
          <w:rFonts w:hint="eastAsia"/>
          <w:b/>
          <w:bCs/>
          <w:color w:val="auto"/>
          <w:sz w:val="32"/>
          <w:szCs w:val="32"/>
          <w:highlight w:val="none"/>
        </w:rPr>
        <w:t xml:space="preserve">六、</w:t>
      </w:r>
      <w:bookmarkEnd w:id="151"/>
      <w:r/>
      <w:bookmarkEnd w:id="152"/>
      <w:r/>
      <w:bookmarkEnd w:id="153"/>
      <w:r>
        <w:rPr>
          <w:rFonts w:hint="eastAsia"/>
          <w:b/>
          <w:bCs/>
          <w:color w:val="auto"/>
          <w:sz w:val="32"/>
          <w:szCs w:val="32"/>
          <w:highlight w:val="none"/>
        </w:rPr>
        <w:t xml:space="preserve">定标</w:t>
      </w:r>
      <w:bookmarkEnd w:id="154"/>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155" w:name="_Toc513029238"/>
      <w:r/>
      <w:bookmarkStart w:id="156" w:name="_Toc20823310"/>
      <w:r/>
      <w:bookmarkStart w:id="157" w:name="_Toc16938554"/>
      <w:r>
        <w:rPr>
          <w:rFonts w:hint="eastAsia" w:ascii="黑体" w:hAnsi="宋体" w:eastAsia="黑体"/>
          <w:bCs/>
          <w:color w:val="auto"/>
          <w:sz w:val="30"/>
          <w:szCs w:val="30"/>
          <w:highlight w:val="none"/>
        </w:rPr>
        <w:t xml:space="preserve">2</w:t>
      </w:r>
      <w:r>
        <w:rPr>
          <w:rFonts w:hint="eastAsia" w:ascii="黑体" w:hAnsi="宋体" w:eastAsia="黑体"/>
          <w:bCs/>
          <w:color w:val="auto"/>
          <w:sz w:val="30"/>
          <w:szCs w:val="30"/>
          <w:highlight w:val="none"/>
          <w:lang w:val="en-US" w:eastAsia="zh-CN"/>
        </w:rPr>
        <w:t xml:space="preserve">9</w:t>
      </w:r>
      <w:r>
        <w:rPr>
          <w:rFonts w:hint="eastAsia" w:ascii="黑体" w:hAnsi="宋体" w:eastAsia="黑体"/>
          <w:bCs/>
          <w:color w:val="auto"/>
          <w:sz w:val="30"/>
          <w:szCs w:val="30"/>
          <w:highlight w:val="none"/>
        </w:rPr>
        <w:t xml:space="preserve">、</w:t>
      </w:r>
      <w:bookmarkEnd w:id="155"/>
      <w:r>
        <w:rPr>
          <w:rFonts w:hint="eastAsia" w:ascii="黑体" w:hAnsi="宋体" w:eastAsia="黑体"/>
          <w:bCs/>
          <w:color w:val="auto"/>
          <w:sz w:val="30"/>
          <w:szCs w:val="30"/>
          <w:highlight w:val="none"/>
        </w:rPr>
        <w:t xml:space="preserve">确定</w:t>
      </w:r>
      <w:bookmarkEnd w:id="156"/>
      <w:r/>
      <w:bookmarkEnd w:id="157"/>
      <w:r>
        <w:rPr>
          <w:rFonts w:hint="eastAsia" w:ascii="黑体" w:hAnsi="宋体" w:eastAsia="黑体"/>
          <w:bCs/>
          <w:color w:val="auto"/>
          <w:sz w:val="30"/>
          <w:szCs w:val="30"/>
          <w:highlight w:val="none"/>
        </w:rPr>
        <w:t xml:space="preserve">中标单位</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9</w:t>
      </w:r>
      <w:r>
        <w:rPr>
          <w:rFonts w:hint="eastAsia" w:ascii="宋体" w:hAnsi="宋体"/>
          <w:bCs/>
          <w:color w:val="auto"/>
          <w:sz w:val="24"/>
          <w:szCs w:val="21"/>
          <w:highlight w:val="none"/>
        </w:rPr>
        <w:t xml:space="preserve">.1中标候选人的选取原则和数量见招标文件第五章规定。 </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9</w:t>
      </w:r>
      <w:r>
        <w:rPr>
          <w:rFonts w:hint="eastAsia" w:ascii="宋体" w:hAnsi="宋体"/>
          <w:bCs/>
          <w:color w:val="auto"/>
          <w:sz w:val="24"/>
          <w:szCs w:val="21"/>
          <w:highlight w:val="none"/>
        </w:rPr>
        <w:t xml:space="preserve">.2 采购人应根据评委会推荐的中标候选人确定中标人。</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.3 </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 若有充分证据证明，中标人出现下列情况之一的，一经查实，将被取消中标资格：</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.4.1提供虚假材料谋取中标的。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.4.2向采购人、交易中心行贿或者提供其他不正当利益的。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.4.4与采购人或者其他供应商恶意串通的。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.4.5采取不正当手段诋毁、排挤其他供应商的。</w:t>
      </w:r>
      <w:r/>
    </w:p>
    <w:p>
      <w:pPr>
        <w:ind w:firstLine="480"/>
        <w:pageBreakBefore w:val="0"/>
        <w:spacing w:line="360" w:lineRule="auto"/>
        <w:widowControl w:val="off"/>
        <w:rPr>
          <w:rFonts w:ascii="宋体" w:hAnsi="宋体"/>
          <w:color w:val="auto"/>
          <w:sz w:val="24"/>
          <w:szCs w:val="24"/>
          <w:highlight w:val="none"/>
        </w:rPr>
      </w:pPr>
      <w:r/>
      <w:bookmarkStart w:id="158" w:name="_Toc2004519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w:t>
      </w:r>
      <w:r>
        <w:rPr>
          <w:rFonts w:hint="eastAsia"/>
          <w:color w:val="auto"/>
          <w:szCs w:val="21"/>
          <w:highlight w:val="none"/>
        </w:rPr>
        <w:t xml:space="preserve">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.5.2不同投标人委托同一单位或者个人办理投标事宜；</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.5.3 不同投标人的投标文件载明的项目管理成员或者联系人员为同一人；</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.5.4不同投标人的投标文件异常一致或者投标报价呈规律性差异；</w:t>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val="en-US" w:eastAsia="zh-CN"/>
        </w:rPr>
        <w:t xml:space="preserve">30</w:t>
      </w:r>
      <w:r>
        <w:rPr>
          <w:rFonts w:hint="eastAsia" w:ascii="黑体" w:hAnsi="宋体" w:eastAsia="黑体"/>
          <w:bCs/>
          <w:color w:val="auto"/>
          <w:sz w:val="30"/>
          <w:szCs w:val="30"/>
          <w:highlight w:val="none"/>
        </w:rPr>
        <w:t xml:space="preserve">、质疑处理</w:t>
      </w:r>
      <w:bookmarkEnd w:id="158"/>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或采购人提出质疑。上述应知其权益受到损害之日，是指：</w:t>
      </w:r>
      <w:r/>
    </w:p>
    <w:p>
      <w:pPr>
        <w:ind w:firstLine="480"/>
        <w:pageBreakBefore w:val="0"/>
        <w:spacing w:line="360" w:lineRule="auto"/>
        <w:widowControl w:val="off"/>
        <w:rPr>
          <w:rFonts w:hint="eastAsia" w:hAnsi="宋体" w:cs="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Ansi="宋体" w:cs="宋体"/>
          <w:color w:val="auto"/>
          <w:sz w:val="24"/>
          <w:szCs w:val="24"/>
          <w:highlight w:val="none"/>
        </w:rPr>
        <w:br w:type="textWrapping" w:clear="all"/>
      </w:r>
      <w:r>
        <w:rPr>
          <w:rFonts w:hAnsi="宋体" w:cs="宋体"/>
          <w:color w:val="auto"/>
          <w:sz w:val="24"/>
          <w:szCs w:val="24"/>
          <w:highlight w:val="none"/>
        </w:rPr>
        <w:t xml:space="preserve">　　</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Ansi="宋体" w:cs="宋体"/>
          <w:color w:val="auto"/>
          <w:sz w:val="24"/>
          <w:szCs w:val="24"/>
          <w:highlight w:val="none"/>
        </w:rPr>
        <w:br w:type="textWrapping" w:clear="all"/>
      </w:r>
      <w:r>
        <w:rPr>
          <w:rFonts w:hAnsi="宋体" w:cs="宋体"/>
          <w:color w:val="auto"/>
          <w:sz w:val="24"/>
          <w:szCs w:val="24"/>
          <w:highlight w:val="none"/>
        </w:rPr>
        <w:t xml:space="preserve">　　</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对中标或者成交结果提出质疑的，为中标或者成交结果公告期限届满之日。</w:t>
      </w:r>
      <w:r/>
    </w:p>
    <w:p>
      <w:pPr>
        <w:ind w:firstLine="480"/>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szCs w:val="21"/>
          <w:highlight w:val="none"/>
        </w:rPr>
        <w:t xml:space="preserve">采购代理机构</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.6供应商提出书面质疑必须有理、有据，不得捏造事实、提供虚假材料进行恶意质疑。否则，一经查实，</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1</w:t>
      </w:r>
      <w:r>
        <w:rPr>
          <w:rFonts w:hint="eastAsia" w:ascii="黑体" w:hAnsi="宋体" w:eastAsia="黑体"/>
          <w:bCs/>
          <w:color w:val="auto"/>
          <w:sz w:val="30"/>
          <w:szCs w:val="30"/>
          <w:highlight w:val="none"/>
        </w:rPr>
        <w:t xml:space="preserve">、中标通知书</w:t>
      </w:r>
      <w:r/>
    </w:p>
    <w:p>
      <w:pPr>
        <w:ind w:firstLine="60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.l中标结果确定后，</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将向中标人发出中标通知书。</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b/>
          <w:bCs/>
          <w:color w:val="auto"/>
          <w:sz w:val="32"/>
          <w:szCs w:val="32"/>
          <w:highlight w:val="none"/>
        </w:rPr>
        <w:outlineLvl w:val="2"/>
      </w:pPr>
      <w:r/>
      <w:bookmarkStart w:id="159" w:name="_Toc120614220"/>
      <w:r/>
      <w:bookmarkStart w:id="160" w:name="_Toc16938552"/>
      <w:r/>
      <w:bookmarkStart w:id="161" w:name="_Toc20823308"/>
      <w:r/>
      <w:bookmarkStart w:id="162" w:name="_Toc513029236"/>
      <w:r>
        <w:rPr>
          <w:rFonts w:hint="eastAsia"/>
          <w:b/>
          <w:bCs/>
          <w:color w:val="auto"/>
          <w:sz w:val="32"/>
          <w:szCs w:val="32"/>
          <w:highlight w:val="none"/>
        </w:rPr>
        <w:t xml:space="preserve">七、授予合同</w:t>
      </w:r>
      <w:bookmarkEnd w:id="159"/>
      <w:r/>
      <w:bookmarkEnd w:id="160"/>
      <w:bookmarkEnd w:id="161"/>
      <w:bookmarkEnd w:id="162"/>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163" w:name="_Toc20823309"/>
      <w:r/>
      <w:bookmarkStart w:id="164" w:name="_Toc16938553"/>
      <w:r/>
      <w:bookmarkStart w:id="165" w:name="_Toc513029237"/>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2</w:t>
      </w:r>
      <w:r>
        <w:rPr>
          <w:rFonts w:hint="eastAsia" w:ascii="黑体" w:hAnsi="宋体" w:eastAsia="黑体"/>
          <w:bCs/>
          <w:color w:val="auto"/>
          <w:sz w:val="30"/>
          <w:szCs w:val="30"/>
          <w:highlight w:val="none"/>
        </w:rPr>
        <w:t xml:space="preserve">、签订合同</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.3 签订合同后，</w:t>
      </w:r>
      <w:r>
        <w:rPr>
          <w:rFonts w:hint="eastAsia" w:ascii="宋体" w:hAnsi="宋体"/>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3</w:t>
      </w:r>
      <w:r>
        <w:rPr>
          <w:rFonts w:hint="eastAsia" w:ascii="黑体" w:hAnsi="宋体" w:eastAsia="黑体"/>
          <w:bCs/>
          <w:color w:val="auto"/>
          <w:sz w:val="30"/>
          <w:szCs w:val="30"/>
          <w:highlight w:val="none"/>
        </w:rPr>
        <w:t xml:space="preserve">、货物（包含与货物相关的服务）的追加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3"/>
      <w:bookmarkEnd w:id="164"/>
      <w:bookmarkEnd w:id="165"/>
      <w:r/>
    </w:p>
    <w:p>
      <w:pPr>
        <w:ind w:firstLine="600"/>
        <w:keepLines/>
        <w:keepNext/>
        <w:pageBreakBefore w:val="0"/>
        <w:spacing w:line="360" w:lineRule="auto"/>
        <w:widowControl w:val="off"/>
        <w:rPr>
          <w:rFonts w:ascii="黑体" w:hAnsi="宋体" w:eastAsia="黑体"/>
          <w:bCs/>
          <w:color w:val="auto"/>
          <w:sz w:val="30"/>
          <w:szCs w:val="30"/>
          <w:highlight w:val="none"/>
        </w:rPr>
        <w:outlineLvl w:val="3"/>
      </w:pPr>
      <w:r/>
      <w:bookmarkStart w:id="166" w:name="_Toc120614221"/>
      <w:r/>
      <w:bookmarkStart w:id="167" w:name="_Toc20823314"/>
      <w:r/>
      <w:bookmarkStart w:id="168" w:name="_Toc479757207"/>
      <w:r/>
      <w:bookmarkStart w:id="169" w:name="_Toc513029242"/>
      <w:r/>
      <w:bookmarkStart w:id="170" w:name="_Toc16938558"/>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4</w:t>
      </w:r>
      <w:r>
        <w:rPr>
          <w:rFonts w:hint="eastAsia" w:ascii="黑体" w:hAnsi="宋体" w:eastAsia="黑体"/>
          <w:bCs/>
          <w:color w:val="auto"/>
          <w:sz w:val="30"/>
          <w:szCs w:val="30"/>
          <w:highlight w:val="none"/>
        </w:rPr>
        <w:t xml:space="preserve">、政府采购履约资金扶持政策</w:t>
      </w:r>
      <w:r/>
    </w:p>
    <w:p>
      <w:pPr>
        <w:ind w:firstLine="555"/>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numPr>
          <w:ilvl w:val="0"/>
          <w:numId w:val="6"/>
        </w:num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履约保证金</w:t>
      </w:r>
      <w:r/>
    </w:p>
    <w:p>
      <w:pPr>
        <w:ind w:firstLine="555"/>
        <w:pageBreakBefore w:val="0"/>
        <w:spacing w:line="360" w:lineRule="auto"/>
        <w:widowControl w:val="off"/>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本项目不收履约保证金。</w:t>
      </w:r>
      <w:r/>
    </w:p>
    <w:p>
      <w:pPr>
        <w:ind w:firstLine="600"/>
        <w:keepLines/>
        <w:keepNext/>
        <w:pageBreakBefore w:val="0"/>
        <w:spacing w:line="360" w:lineRule="auto"/>
        <w:widowControl w:val="off"/>
        <w:rPr>
          <w:rFonts w:hint="eastAsia" w:ascii="黑体" w:hAnsi="宋体" w:eastAsia="黑体" w:cs="Times New Roman"/>
          <w:bCs/>
          <w:color w:val="auto"/>
          <w:sz w:val="30"/>
          <w:szCs w:val="30"/>
          <w:highlight w:val="none"/>
        </w:rPr>
        <w:outlineLvl w:val="3"/>
      </w:pPr>
      <w:r>
        <w:rPr>
          <w:rFonts w:hint="eastAsia" w:ascii="黑体" w:hAnsi="宋体" w:eastAsia="黑体" w:cs="Times New Roman"/>
          <w:bCs/>
          <w:color w:val="auto"/>
          <w:sz w:val="30"/>
          <w:szCs w:val="30"/>
          <w:highlight w:val="none"/>
        </w:rPr>
        <w:t xml:space="preserve">3</w:t>
      </w:r>
      <w:r>
        <w:rPr>
          <w:rFonts w:hint="eastAsia" w:ascii="黑体" w:hAnsi="宋体" w:eastAsia="黑体" w:cs="Times New Roman"/>
          <w:bCs/>
          <w:color w:val="auto"/>
          <w:sz w:val="30"/>
          <w:szCs w:val="30"/>
          <w:highlight w:val="none"/>
          <w:lang w:val="en-US" w:eastAsia="zh-CN"/>
        </w:rPr>
        <w:t xml:space="preserve">6</w:t>
      </w:r>
      <w:r>
        <w:rPr>
          <w:rFonts w:hint="eastAsia" w:ascii="黑体" w:hAnsi="宋体" w:eastAsia="黑体" w:cs="Times New Roman"/>
          <w:bCs/>
          <w:color w:val="auto"/>
          <w:sz w:val="30"/>
          <w:szCs w:val="30"/>
          <w:highlight w:val="none"/>
        </w:rPr>
        <w:t xml:space="preserve">、履约验收</w:t>
      </w:r>
      <w:r/>
    </w:p>
    <w:p>
      <w:pPr>
        <w:ind w:firstLine="555"/>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以采购单位现场验收为准。</w:t>
      </w:r>
      <w:r/>
    </w:p>
    <w:p>
      <w:pPr>
        <w:ind w:firstLine="555"/>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验收标准：中标人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中标人承担。</w:t>
      </w:r>
      <w:r/>
    </w:p>
    <w:p>
      <w:pPr>
        <w:ind w:firstLine="555"/>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2.全部安装到位后，在接到中标供应商以书面形式提出验收申请后，采购人应在 5 个工作日内及时组织相关专业技术人员，必要时邀请采购办等相关部门共同参与验收，并出具验收报告，作为支付货款的依据。（格式见附件）</w:t>
      </w:r>
      <w:r/>
    </w:p>
    <w:p>
      <w:pPr>
        <w:ind w:firstLine="555"/>
        <w:spacing w:line="500" w:lineRule="exact"/>
        <w:rPr>
          <w:rFonts w:ascii="黑体" w:eastAsia="黑体"/>
          <w:bCs/>
          <w:color w:val="auto"/>
          <w:sz w:val="44"/>
          <w:szCs w:val="28"/>
          <w:highlight w:val="none"/>
        </w:rPr>
      </w:pPr>
      <w:r>
        <w:rPr>
          <w:rFonts w:hint="eastAsia" w:ascii="宋体" w:hAnsi="宋体" w:eastAsia="宋体" w:cs="Times New Roman"/>
          <w:bCs/>
          <w:color w:val="auto"/>
          <w:sz w:val="24"/>
          <w:szCs w:val="24"/>
          <w:highlight w:val="none"/>
        </w:rPr>
        <w:br w:type="page" w:clear="all"/>
      </w:r>
      <w:r/>
    </w:p>
    <w:p>
      <w:pPr>
        <w:ind w:firstLine="1760"/>
        <w:keepNext/>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t xml:space="preserve">第三章  合同</w:t>
      </w:r>
      <w:bookmarkEnd w:id="166"/>
      <w:r/>
      <w:bookmarkEnd w:id="167"/>
      <w:r/>
      <w:bookmarkEnd w:id="168"/>
      <w:r/>
      <w:bookmarkEnd w:id="169"/>
      <w:r/>
      <w:bookmarkEnd w:id="170"/>
      <w:r>
        <w:rPr>
          <w:rFonts w:hint="eastAsia" w:ascii="黑体" w:eastAsia="黑体"/>
          <w:bCs/>
          <w:color w:val="auto"/>
          <w:sz w:val="44"/>
          <w:szCs w:val="28"/>
          <w:highlight w:val="none"/>
        </w:rPr>
        <w:t xml:space="preserve">文本</w:t>
      </w:r>
      <w:r/>
    </w:p>
    <w:p>
      <w:pPr>
        <w:jc w:val="center"/>
        <w:spacing w:line="278" w:lineRule="auto"/>
        <w:rPr>
          <w:rFonts w:hint="eastAsia" w:ascii="宋体" w:hAnsi="宋体" w:cs="宋体"/>
          <w:b/>
          <w:bCs/>
          <w:color w:val="auto"/>
          <w:spacing w:val="-20"/>
          <w:sz w:val="48"/>
          <w:szCs w:val="48"/>
          <w:highlight w:val="none"/>
        </w:rPr>
      </w:pPr>
      <w:r/>
      <w:bookmarkStart w:id="171" w:name="_Toc3995"/>
      <w:r/>
      <w:bookmarkStart w:id="172" w:name="_Hlt16619350"/>
      <w:r/>
      <w:bookmarkStart w:id="173" w:name="_Toc16938590"/>
      <w:r/>
      <w:bookmarkStart w:id="174" w:name="_Toc20823346"/>
      <w:r/>
      <w:bookmarkStart w:id="175" w:name="_Toc120614244"/>
      <w:r/>
      <w:bookmarkStart w:id="176" w:name="_Toc462564139"/>
      <w:r/>
      <w:bookmarkStart w:id="177" w:name="_Toc479757211"/>
      <w:r/>
      <w:r/>
    </w:p>
    <w:p>
      <w:pPr>
        <w:jc w:val="center"/>
        <w:spacing w:line="278" w:lineRule="auto"/>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spacing w:line="278" w:lineRule="auto"/>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spacing w:line="278" w:lineRule="auto"/>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spacing w:line="278" w:lineRule="auto"/>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spacing w:line="278" w:lineRule="auto"/>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spacing w:line="278" w:lineRule="auto"/>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spacing w:after="160" w:line="278" w:lineRule="auto"/>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spacing w:after="160" w:line="278" w:lineRule="auto"/>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spacing w:after="160" w:line="278" w:lineRule="auto"/>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spacing w:after="160"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spacing w:after="160"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spacing w:after="160"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spacing w:after="160"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spacing w:after="160"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spacing w:after="160" w:line="278" w:lineRule="auto"/>
        <w:rPr>
          <w:color w:val="auto"/>
          <w:szCs w:val="24"/>
          <w:highlight w:val="none"/>
        </w:rPr>
      </w:pPr>
      <w:r>
        <w:rPr>
          <w:color w:val="auto"/>
          <w:szCs w:val="24"/>
          <w:highlight w:val="none"/>
        </w:rPr>
      </w:r>
      <w:r/>
    </w:p>
    <w:p>
      <w:pPr>
        <w:jc w:val="center"/>
        <w:keepNext/>
        <w:spacing w:line="360" w:lineRule="auto"/>
        <w:rPr>
          <w:rFonts w:hint="eastAsia" w:ascii="宋体" w:hAnsi="宋体" w:eastAsia="宋体" w:cs="宋体"/>
          <w:b/>
          <w:bCs/>
          <w:color w:val="auto"/>
          <w:sz w:val="44"/>
          <w:szCs w:val="44"/>
          <w:highlight w:val="none"/>
          <w:lang w:val="en-US" w:eastAsia="zh-CN"/>
        </w:rPr>
        <w:outlineLvl w:val="0"/>
      </w:pPr>
      <w:r>
        <w:rPr>
          <w:rFonts w:eastAsia="黑体"/>
          <w:color w:val="auto"/>
          <w:sz w:val="44"/>
          <w:szCs w:val="44"/>
          <w:highlight w:val="none"/>
        </w:rPr>
        <w:br w:type="page" w:clear="all"/>
      </w:r>
      <w:bookmarkEnd w:id="171"/>
      <w:r/>
      <w:bookmarkStart w:id="178" w:name="_Toc27624"/>
      <w:r>
        <w:rPr>
          <w:rFonts w:hint="eastAsia" w:ascii="宋体" w:hAnsi="宋体" w:eastAsia="宋体" w:cs="宋体"/>
          <w:b/>
          <w:bCs/>
          <w:color w:val="auto"/>
          <w:sz w:val="44"/>
          <w:szCs w:val="44"/>
          <w:highlight w:val="none"/>
          <w:lang w:val="en-US" w:eastAsia="zh-CN"/>
        </w:rPr>
        <w:t xml:space="preserve">合同文本</w:t>
      </w:r>
      <w:r/>
    </w:p>
    <w:p>
      <w:pPr>
        <w:jc w:val="center"/>
        <w:keepNext/>
        <w:spacing w:line="360" w:lineRule="auto"/>
        <w:rPr>
          <w:rFonts w:hint="eastAsia" w:ascii="宋体" w:hAnsi="宋体" w:eastAsia="宋体" w:cs="宋体"/>
          <w:b/>
          <w:bCs/>
          <w:color w:val="auto"/>
          <w:sz w:val="44"/>
          <w:szCs w:val="44"/>
          <w:highlight w:val="none"/>
          <w:lang w:val="en-US" w:eastAsia="zh-CN"/>
        </w:rPr>
        <w:outlineLvl w:val="0"/>
      </w:pPr>
      <w:r>
        <w:rPr>
          <w:rFonts w:hint="eastAsia" w:ascii="宋体" w:hAnsi="宋体" w:eastAsia="宋体" w:cs="宋体"/>
          <w:b/>
          <w:bCs/>
          <w:color w:val="auto"/>
          <w:sz w:val="44"/>
          <w:szCs w:val="44"/>
          <w:highlight w:val="none"/>
          <w:lang w:val="en-US" w:eastAsia="zh-CN"/>
        </w:rPr>
      </w:r>
      <w:r/>
    </w:p>
    <w:p>
      <w:pPr>
        <w:ind w:firstLine="480"/>
        <w:spacing w:line="360" w:lineRule="auto"/>
        <w:rPr>
          <w:rFonts w:hint="eastAsia" w:ascii="宋体" w:hAnsi="宋体" w:cs="宋体"/>
          <w:bCs/>
          <w:color w:val="auto"/>
          <w:sz w:val="24"/>
          <w:szCs w:val="21"/>
          <w:highlight w:val="none"/>
        </w:rPr>
      </w:pPr>
      <w:r/>
      <w:bookmarkStart w:id="179" w:name="_Toc513029243"/>
      <w:r/>
      <w:bookmarkStart w:id="180" w:name="_Toc16938559"/>
      <w:r/>
      <w:bookmarkStart w:id="181" w:name="_Toc20823315"/>
      <w:r>
        <w:rPr>
          <w:rFonts w:hint="eastAsia" w:ascii="宋体" w:hAnsi="宋体" w:cs="宋体"/>
          <w:bCs/>
          <w:color w:val="auto"/>
          <w:sz w:val="24"/>
          <w:szCs w:val="21"/>
          <w:highlight w:val="none"/>
        </w:rPr>
        <w:t xml:space="preserve">以下为中标后签定本项目合同的通用条款，中标人不得提出实质性的修改。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招标的结果，签署本合同。</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一、产品名称、单价</w:t>
      </w:r>
      <w:r/>
    </w:p>
    <w:tbl>
      <w:tblPr>
        <w:tblStyle w:val="8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1025"/>
        <w:gridCol w:w="1025"/>
        <w:gridCol w:w="1025"/>
        <w:gridCol w:w="1441"/>
        <w:gridCol w:w="1441"/>
        <w:gridCol w:w="1579"/>
      </w:tblGrid>
      <w:tr>
        <w:trPr>
          <w:jc w:val="center"/>
          <w:trHeight w:val="672"/>
        </w:trPr>
        <w:tc>
          <w:tcPr>
            <w:tcW w:w="6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品名</w:t>
            </w:r>
            <w:r/>
          </w:p>
        </w:tc>
        <w:tc>
          <w:tcPr>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品牌型号</w:t>
            </w:r>
            <w:r/>
          </w:p>
        </w:tc>
        <w:tc>
          <w:tcPr>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6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666"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合计（元）</w:t>
            </w:r>
            <w:r/>
          </w:p>
        </w:tc>
        <w:tc>
          <w:tcPr>
            <w:tcW w:w="102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264"/>
        </w:trPr>
        <w:tc>
          <w:tcPr>
            <w:tcW w:w="6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（需满足为完成该项目的相关运输、安装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培训、售后服务、维修、更换和质保、检验等所有费用）</w:t>
            </w:r>
            <w:r/>
          </w:p>
        </w:tc>
      </w:tr>
    </w:tbl>
    <w:p>
      <w:pPr>
        <w:pStyle w:val="1174"/>
        <w:ind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二、合同总金额</w:t>
      </w:r>
      <w:r/>
    </w:p>
    <w:p>
      <w:pPr>
        <w:pStyle w:val="117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117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本合同总金额包括货物本身价格、配件、辅材、运输、装卸、人工、产品损耗、检验、安装、售后服务、税费及货物交付使用过程中涉及到的其他一切费用，</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将不再另行支付任何费用。</w:t>
      </w:r>
      <w:r/>
    </w:p>
    <w:p>
      <w:pPr>
        <w:pStyle w:val="117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在招标文件未列明，而乙方认为履行本合同必需的费用也包含在合同总金额中。</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三、项目技术参数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（以具体采购装备为准，参照投标文件具体内容，货物的参数型号必须附在合同内。）</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四、质量要求及技术准备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乙方提供的装备必须符合国家颁布的质量标准和投标文件的相关技术要求。如零部件采用进口的，须提供货物进口报关单。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4.2乙方所交的货物品种、规格、型号、技术参数、产品质量不符合合同约定和法律规定的，甲方一律拒收该货物，</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实施更换货物或整改但逾期交货的，按</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逾期交货处理，并追究违约责任；</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未在合同约定的期限内更换或整改的，甲方可按照合同约定单方面解除合同；未达验收标准责令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限期整改，整改次数不超过2次，总的整改时间不超过30个工作日。因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责任不能按合同履约，在整改验收期间，造成该装备或配套产品不能如期装备队伍，影响队伍执勤备战，甲方有权追究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所造成的经济损失、法律和社会责任。（如因装备质量缺陷等问题导致消防员在使用过程中发生伤亡的，由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负责一切后果，并承担法律责任）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五、合同履行期限、交货方式及交货地点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5.1合同履行期限：</w:t>
      </w:r>
      <w:r>
        <w:rPr>
          <w:rFonts w:hint="eastAsia" w:ascii="宋体" w:hAnsi="宋体" w:eastAsia="宋体" w:cs="宋体"/>
          <w:color w:val="auto"/>
          <w:sz w:val="24"/>
          <w:szCs w:val="24"/>
          <w:highlight w:val="none"/>
          <w:lang w:val="en-US" w:eastAsia="zh-CN"/>
        </w:rPr>
        <w:t xml:space="preserve">自合同签订之日起，60个工作日完成合同全部设备的交货、安装、集成、调试工作</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5.2交货地点：甲方指定地点。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5.3交货方式：交货时甲乙双方均要有人在场负责清点移交。</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六、货款支付</w:t>
      </w:r>
      <w:r/>
    </w:p>
    <w:p>
      <w:pPr>
        <w:ind w:firstLine="480"/>
        <w:spacing w:line="5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6.1付款方式：</w:t>
      </w:r>
      <w:r>
        <w:rPr>
          <w:rFonts w:hint="eastAsia" w:ascii="宋体" w:hAnsi="宋体" w:cs="宋体"/>
          <w:bCs/>
          <w:color w:val="auto"/>
          <w:sz w:val="24"/>
          <w:szCs w:val="24"/>
          <w:highlight w:val="none"/>
          <w:lang w:val="en-US" w:eastAsia="zh-CN"/>
        </w:rPr>
        <w:t xml:space="preserve">签订合同后30日内支付合同金额的30%，项目验收合格后支付至合同金额的80%，余款待验收合格满五年后30日内付清。</w:t>
      </w:r>
      <w:r/>
    </w:p>
    <w:p>
      <w:pPr>
        <w:numPr>
          <w:ilvl w:val="0"/>
          <w:numId w:val="7"/>
        </w:num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履约保证金</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本项目不收履约保证金。</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八、税费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九、质量保证及售后服务</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质量要求：</w:t>
      </w:r>
      <w:r>
        <w:rPr>
          <w:rFonts w:hint="eastAsia" w:ascii="宋体" w:hAnsi="宋体" w:eastAsia="宋体" w:cs="宋体"/>
          <w:color w:val="auto"/>
          <w:sz w:val="24"/>
          <w:szCs w:val="24"/>
          <w:highlight w:val="none"/>
        </w:rPr>
        <w:t xml:space="preserve">合格，符合国家现行有关行业标准及招标文件的要求。产品必须是全新、</w:t>
      </w:r>
      <w:r>
        <w:rPr>
          <w:rFonts w:hint="eastAsia" w:ascii="宋体" w:hAnsi="宋体" w:eastAsia="宋体" w:cs="宋体"/>
          <w:color w:val="auto"/>
          <w:sz w:val="24"/>
          <w:szCs w:val="24"/>
          <w:highlight w:val="none"/>
          <w:lang w:val="en-US" w:eastAsia="zh-CN"/>
        </w:rPr>
        <w:t xml:space="preserve">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9.2质保期要求：乙方自项目整体验收通过、甲方接受并签字认可之日起，</w:t>
      </w:r>
      <w:r>
        <w:rPr>
          <w:rFonts w:hint="eastAsia" w:ascii="宋体" w:hAnsi="宋体" w:eastAsia="宋体" w:cs="宋体"/>
          <w:color w:val="auto"/>
          <w:sz w:val="24"/>
          <w:szCs w:val="24"/>
          <w:highlight w:val="none"/>
          <w:lang w:val="en-US" w:eastAsia="zh-CN"/>
        </w:rPr>
        <w:t xml:space="preserve">免费质保期</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质保内免费提供产品的维修维护，包括非人为因素发生的产品修理、更换的费用。过质保期后应提供上门维修，维修费用只收取零部件成本费。</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9.3售后技术服务要求：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a.乙方承诺提供终身7×24小时售后服务专线支持。如遇用户要求，须委派专业技术人员提供现场保障服务。</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设备使用期间系统运行出现故障后的维修服务：系统出现故障时，应积极响应，尽快查明故障原因，1小时内到位，2小时内查明原因，一般问题应在3小时内解决，重大故障应启动应急备用方案，最长不超过12小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c.乙方在项目完成后提供完整的技术资料及使用手册、保修条款等。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d.乙方必须承诺对设备中涉及的软、硬件产品提供</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年原厂</w:t>
      </w:r>
      <w:r>
        <w:rPr>
          <w:rFonts w:hint="eastAsia" w:ascii="宋体" w:hAnsi="宋体" w:eastAsia="宋体" w:cs="宋体"/>
          <w:color w:val="auto"/>
          <w:sz w:val="24"/>
          <w:szCs w:val="24"/>
          <w:highlight w:val="none"/>
          <w:lang w:val="en-US" w:eastAsia="zh-CN"/>
        </w:rPr>
        <w:t xml:space="preserve">免费保修及升级服务。</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e.乙方须保留质保期间所出现的问题、故障以及处理方式的完整记录，并定期提交用户保存。</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f.承担全部接口对接开发中的所需费用。</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g.在重大活动和应急突发事件时，提供现场保障服务。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9.4.培训要求：项目验收合格后乙方负责为甲方培训，其中包括理论培训及</w:t>
      </w:r>
      <w:r>
        <w:rPr>
          <w:rFonts w:hint="eastAsia" w:ascii="宋体" w:hAnsi="宋体" w:eastAsia="宋体" w:cs="宋体"/>
          <w:color w:val="auto"/>
          <w:sz w:val="24"/>
          <w:szCs w:val="24"/>
          <w:highlight w:val="none"/>
        </w:rPr>
        <w:t xml:space="preserve">实际操作培训，费用包含在</w:t>
      </w:r>
      <w:r>
        <w:rPr>
          <w:rFonts w:hint="eastAsia" w:ascii="宋体" w:hAnsi="宋体" w:eastAsia="宋体" w:cs="宋体"/>
          <w:color w:val="auto"/>
          <w:sz w:val="24"/>
          <w:szCs w:val="24"/>
          <w:highlight w:val="none"/>
          <w:lang w:val="en-US" w:eastAsia="zh-CN"/>
        </w:rPr>
        <w:t xml:space="preserve">合同价</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不另行支付。</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十、调试和验收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验收标准：货物到达后，乙方提交货物验收申请，验收申请需列明货物名称、规格型号、生产厂家、数量和相关产品技术参数说明书及国家消防装备质量检验检测中心出具的检测报告。在收到乙方货物验收申请后5个工作日内，甲方组织验收，必要时邀请行业专家或第三方专业机构验收，相关意见将作为验收书的参考资料。</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10.3验收要求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甲方在组织履约验收前，将根据项目特点制定验收方案，明确履约验收的时间、方式、程序等内容。乙方应根据验收方案内容做好相应配合工作。</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十一、货物包装、发运及运输</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11.1乙方</w:t>
      </w:r>
      <w:r>
        <w:rPr>
          <w:rFonts w:hint="eastAsia" w:ascii="宋体" w:hAnsi="宋体" w:eastAsia="宋体" w:cs="宋体"/>
          <w:color w:val="auto"/>
          <w:sz w:val="24"/>
          <w:szCs w:val="24"/>
          <w:highlight w:val="none"/>
        </w:rPr>
        <w:t xml:space="preserve">提供的全部货物均须按国家或专业标准保护措施进行包装。该包装须</w:t>
      </w:r>
      <w:r>
        <w:rPr>
          <w:rFonts w:hint="eastAsia" w:ascii="宋体" w:hAnsi="宋体" w:eastAsia="宋体" w:cs="宋体"/>
          <w:color w:val="auto"/>
          <w:sz w:val="24"/>
          <w:szCs w:val="24"/>
          <w:highlight w:val="none"/>
          <w:lang w:val="en-US" w:eastAsia="zh-CN"/>
        </w:rPr>
        <w:t xml:space="preserve">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11.2使用说明书、质量检验证明书、随配附件和工具以及清单一并附于货物内。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11.3乙方负责安排运输并承担运费、装卸费等相关费用。在运输和卸货过程中所涉及的一切安全责任，均由乙方负责。</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11.4乙方在货物发运手续办理完毕后24小时内或货到甲方48小时前通知甲方，以准备接货。</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11.5货物在交付甲方前发生的风险均由乙方负责。</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11.6货物在规定的交付期限内由乙方送达甲方指定的地点验收合格后视为交付，乙方同时需通知甲方货物已送达。</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12.1甲方无正当理由拒收货物的，甲方向乙方偿付拒收货款总值的千分之五违约金。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12.4因乙方责任不能按合同履约，造成装备或配套产品不能如期装备队伍，影响队伍执勤备战，甲方有权追究乙方所造成的经济、法律和社会责任。签署本合同即视同乙方认可本条款。</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十三、不可抗力事件处理</w:t>
      </w:r>
      <w:r/>
    </w:p>
    <w:p>
      <w:pPr>
        <w:pStyle w:val="117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13.2不可抗力事件发生后，应立即通知对方，并寄送有关权威机构出具的证明。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13.3不可抗力事件延续120天以上，双方应通过友好协商，确定是否继续履行合同。</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十四、诉讼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14.1双方在执行合同中所发生的一切争议，应通过协商解决。如协商不成，可向合同履行地或甲方所在地法院起诉。</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十五、转包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15.1本合同禁止转包，本合同范围的货物，应由乙方直接供应的，不得转让他人供应。</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十六、知识产权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16.2本项目实施过程中产生的软件著作权等知识产权，应归采购人或经采购人确认的有关单位或个人所有。</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、合同生效及其它</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合同经甲乙双方法定代表或授权委托代表签字且加盖单位公章后生效。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本合同未尽事宜，遵照《中华人民共和国民法典》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《政府采购法》</w:t>
      </w:r>
      <w:r>
        <w:rPr>
          <w:rFonts w:hint="eastAsia" w:ascii="宋体" w:hAnsi="宋体" w:eastAsia="宋体" w:cs="宋体"/>
          <w:color w:val="auto"/>
          <w:sz w:val="24"/>
          <w:szCs w:val="24"/>
          <w:highlight w:val="none"/>
        </w:rPr>
        <w:t xml:space="preserve">有关条文执行。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份，具有同等法律效力，甲方、乙方</w:t>
      </w:r>
      <w:r>
        <w:rPr>
          <w:rFonts w:hint="eastAsia" w:ascii="宋体" w:hAnsi="宋体" w:eastAsia="宋体" w:cs="宋体"/>
          <w:color w:val="auto"/>
          <w:sz w:val="24"/>
          <w:szCs w:val="24"/>
          <w:highlight w:val="none"/>
          <w:lang w:val="en-US" w:eastAsia="zh-CN"/>
        </w:rPr>
        <w:t xml:space="preserve">各执贰份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公共资源交易中心</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pStyle w:val="11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tbl>
      <w:tblPr>
        <w:tblStyle w:val="879"/>
        <w:tblpPr w:horzAnchor="page" w:tblpX="1319" w:vertAnchor="text" w:tblpY="619" w:leftFromText="180" w:topFromText="0" w:rightFromText="180" w:bottomFromText="0"/>
        <w:tblW w:w="8670" w:type="dxa"/>
        <w:tblInd w:w="-30" w:type="dxa"/>
        <w:tblLayout w:type="fixed"/>
        <w:tblCellMar>
          <w:left w:w="15" w:type="dxa"/>
          <w:top w:w="15" w:type="dxa"/>
          <w:right w:w="15" w:type="dxa"/>
          <w:bottom w:w="0" w:type="dxa"/>
        </w:tblCellMar>
        <w:tblLook w:val="04A0" w:firstRow="1" w:lastRow="0" w:firstColumn="1" w:lastColumn="0" w:noHBand="0" w:noVBand="1"/>
      </w:tblPr>
      <w:tblGrid>
        <w:gridCol w:w="4313"/>
        <w:gridCol w:w="4357"/>
      </w:tblGrid>
      <w:tr>
        <w:trPr>
          <w:trHeight w:val="30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1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5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tc>
      </w:tr>
      <w:tr>
        <w:trPr>
          <w:trHeight w:val="30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1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5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c>
      </w:tr>
      <w:tr>
        <w:trPr>
          <w:trHeight w:val="30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1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5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tc>
      </w:tr>
      <w:tr>
        <w:trPr>
          <w:trHeight w:val="30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1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5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rHeight w:val="30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1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35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bookmarkEnd w:id="179"/>
            <w:bookmarkEnd w:id="180"/>
            <w:bookmarkEnd w:id="181"/>
            <w:r/>
          </w:p>
        </w:tc>
      </w:tr>
    </w:tbl>
    <w:p>
      <w:pPr>
        <w:pStyle w:val="1142"/>
        <w:numPr>
          <w:ilvl w:val="0"/>
          <w:numId w:val="0"/>
        </w:numPr>
        <w:rPr>
          <w:rFonts w:hint="eastAsia" w:ascii="仿宋" w:hAnsi="仿宋" w:eastAsia="仿宋"/>
          <w:b/>
          <w:color w:val="auto"/>
          <w:highlight w:val="none"/>
          <w:lang w:val="en-US" w:eastAsia="zh-CN"/>
        </w:rPr>
      </w:pPr>
      <w:r>
        <w:rPr>
          <w:rFonts w:hint="eastAsia" w:ascii="仿宋" w:hAnsi="仿宋" w:eastAsia="仿宋"/>
          <w:b/>
          <w:color w:val="auto"/>
          <w:highlight w:val="none"/>
          <w:lang w:val="en-US" w:eastAsia="zh-CN"/>
        </w:rPr>
      </w:r>
      <w:r/>
    </w:p>
    <w:p>
      <w:pPr>
        <w:jc w:val="center"/>
        <w:keepLines/>
        <w:keepNext/>
        <w:spacing w:before="145" w:after="160" w:line="360" w:lineRule="auto"/>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r>
      <w:r/>
    </w:p>
    <w:p>
      <w:pPr>
        <w:jc w:val="center"/>
        <w:keepLines/>
        <w:keepNext/>
        <w:spacing w:before="145" w:after="160" w:line="360" w:lineRule="auto"/>
        <w:rPr>
          <w:rFonts w:hint="eastAsia" w:ascii="黑体" w:hAnsi="黑体" w:eastAsia="黑体"/>
          <w:b/>
          <w:bCs/>
          <w:color w:val="auto"/>
          <w:sz w:val="28"/>
          <w:szCs w:val="28"/>
          <w:highlight w:val="none"/>
        </w:rPr>
        <w:outlineLvl w:val="1"/>
      </w:pPr>
      <w:r>
        <w:rPr>
          <w:rFonts w:hint="eastAsia" w:ascii="黑体" w:hAnsi="黑体" w:eastAsia="黑体"/>
          <w:color w:val="auto"/>
          <w:sz w:val="28"/>
          <w:szCs w:val="28"/>
          <w:highlight w:val="none"/>
        </w:rPr>
        <w:br w:type="column"/>
      </w:r>
      <w:r>
        <w:rPr>
          <w:rFonts w:hint="eastAsia" w:ascii="黑体" w:hAnsi="黑体" w:eastAsia="黑体"/>
          <w:color w:val="auto"/>
          <w:sz w:val="28"/>
          <w:szCs w:val="28"/>
          <w:highlight w:val="none"/>
        </w:rPr>
        <w:t xml:space="preserve">第二节 政府采购合同通用条款</w:t>
      </w:r>
      <w:bookmarkEnd w:id="178"/>
      <w:r/>
      <w:r/>
    </w:p>
    <w:p>
      <w:pPr>
        <w:jc w:val="left"/>
        <w:spacing w:after="160" w:line="400" w:lineRule="exact"/>
        <w:tabs>
          <w:tab w:val="left" w:pos="8820" w:leader="none"/>
          <w:tab w:val="left" w:pos="9345" w:leader="none"/>
          <w:tab w:val="left" w:pos="9765" w:leader="none"/>
        </w:tabs>
        <w:rPr>
          <w:rFonts w:hint="eastAsia"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after="16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after="16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after="16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after="16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after="16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after="160" w:line="400" w:lineRule="exact"/>
        <w:rPr>
          <w:rFonts w:hint="eastAsia"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after="160"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after="16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after="160" w:line="400" w:lineRule="exact"/>
        <w:rPr>
          <w:rFonts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after="160"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after="160"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after="160" w:line="400" w:lineRule="exact"/>
        <w:widowControl/>
        <w:rPr>
          <w:rFonts w:hint="eastAsia"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after="16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after="160" w:line="400" w:lineRule="exact"/>
        <w:rPr>
          <w:rFonts w:hint="eastAsia"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after="160" w:line="400" w:lineRule="exact"/>
        <w:rPr>
          <w:rFonts w:hint="eastAsia"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after="160"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2"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2"/>
      <w:r>
        <w:rPr>
          <w:rFonts w:hint="eastAsia" w:ascii="宋体" w:hAnsi="宋体"/>
          <w:color w:val="auto"/>
          <w:szCs w:val="21"/>
          <w:highlight w:val="none"/>
        </w:rPr>
        <w:t xml:space="preserve">。</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after="160"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after="160" w:line="400" w:lineRule="exact"/>
        <w:rPr>
          <w:rFonts w:ascii="Arial" w:hAnsi="Arial"/>
          <w:b/>
          <w:bCs/>
          <w:color w:val="auto"/>
          <w:sz w:val="24"/>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after="160"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after="160" w:line="400" w:lineRule="exact"/>
        <w:rPr>
          <w:rFonts w:hint="eastAsia"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after="160"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after="160"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after="160"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after="16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after="160" w:line="400" w:lineRule="exact"/>
        <w:widowControl/>
        <w:rPr>
          <w:rFonts w:hint="eastAsia"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after="160"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16.3合同的终止</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after="160"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after="160"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after="160" w:line="400" w:lineRule="exact"/>
        <w:widowControl/>
        <w:rPr>
          <w:rFonts w:hint="eastAsia"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after="160"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after="160"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after="160"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16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after="16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spacing w:after="16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22.3本合同一方给另一方的通知均应采用书面形式，传真或快递送到本合同中规定的对方的地址和办理签收手续。</w:t>
      </w:r>
      <w:r/>
    </w:p>
    <w:p>
      <w:pPr>
        <w:spacing w:after="160"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22.4通知以送达之日或通知书中规定的生效之日起生效，两者中以较迟之日为准。</w:t>
      </w:r>
      <w:r/>
    </w:p>
    <w:p>
      <w:pPr>
        <w:numPr>
          <w:ilvl w:val="0"/>
          <w:numId w:val="11"/>
        </w:numPr>
        <w:jc w:val="left"/>
        <w:spacing w:after="16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after="160"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after="160"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83" w:name="_Toc20313"/>
      <w:r/>
      <w:r/>
    </w:p>
    <w:p>
      <w:pPr>
        <w:jc w:val="center"/>
        <w:spacing w:after="160" w:line="278" w:lineRule="auto"/>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jc w:val="center"/>
        <w:keepLines/>
        <w:keepNext/>
        <w:spacing w:after="160" w:line="360" w:lineRule="auto"/>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t xml:space="preserve">第三节 政府采购合同专用条款</w:t>
      </w:r>
      <w:bookmarkEnd w:id="183"/>
      <w:r/>
      <w:r/>
    </w:p>
    <w:tbl>
      <w:tblPr>
        <w:tblStyle w:val="87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r>
            <w:r/>
          </w:p>
        </w:tc>
      </w:tr>
      <w:tr>
        <w:trPr>
          <w:trHeight w:val="604"/>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s="宋体"/>
                <w:color w:val="auto"/>
                <w:highlight w:val="none"/>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（1）尊重乙方的正当合法权益，按照合同约定的条件，按时支付款项；</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（2）接收货物的义务；</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（3）根据合同约定的标准和时间，验收货物的义务；</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（4）如发生验收不通过，返厂维修、退货时，有相关退货及重新验收的义务；</w:t>
            </w:r>
            <w:r/>
          </w:p>
          <w:p>
            <w:pPr>
              <w:jc w:val="left"/>
              <w:spacing w:after="160" w:line="278" w:lineRule="auto"/>
              <w:rPr>
                <w:rFonts w:hint="eastAsia" w:ascii="宋体" w:hAnsi="宋体"/>
                <w:color w:val="auto"/>
                <w:szCs w:val="21"/>
                <w:highlight w:val="none"/>
              </w:rPr>
            </w:pPr>
            <w:r>
              <w:rPr>
                <w:rFonts w:hint="eastAsia" w:ascii="宋体" w:hAnsi="宋体" w:cs="宋体"/>
                <w:color w:val="auto"/>
                <w:szCs w:val="21"/>
                <w:highlight w:val="none"/>
              </w:rPr>
              <w:t xml:space="preserve">（5）遵守政府采购的各项法律法规和规章制度。</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color w:val="auto"/>
                <w:szCs w:val="24"/>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spacing w:after="160" w:line="278" w:lineRule="auto"/>
              <w:rPr>
                <w:rFonts w:ascii="宋体" w:hAnsi="宋体" w:cs="宋体"/>
                <w:color w:val="auto"/>
                <w:szCs w:val="21"/>
                <w:highlight w:val="none"/>
              </w:rPr>
            </w:pPr>
            <w:r>
              <w:rPr>
                <w:rFonts w:hint="eastAsia" w:ascii="宋体" w:hAnsi="宋体" w:cs="宋体"/>
                <w:color w:val="auto"/>
                <w:szCs w:val="21"/>
                <w:highlight w:val="none"/>
              </w:rPr>
              <w:t xml:space="preserve">质量保证</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1.供应商须明确所投货物的生产厂家、品牌、型号、规格、外形和尺寸等。</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3.产品的包装，国家或行业主管部门有规定的，按规定执行。 </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4.供应商应保证提供的产品不得侵犯第三方专利权、商标权和工业设计权、版权等。否则，中标人应负全部责任，并承担由此引起的一切后果。</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5.供应商应保证其货物在正确安装、正常使用和保养条件下，在其使用寿命期内应具有满意的性能。</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6.供应商应采取必要的安全措施保证货物的运输及安装的安全，并承担货物的运输及安装过程中产生的风险。</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7.供应商必须保证所提供的产品符合国家相应质量要求，供货时必须随产品提供出厂材料，包括但不限于检验报告（复印件）、产品合格证（原件）以及设备的测试、运行、保养手册。</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8.供应商所供货物最终验收后，中标供应商应对由于设计、工艺或材料的缺陷而发生的任何不足或故障负责，并承担由此引起的一切后果。</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s="宋体"/>
                <w:color w:val="auto"/>
                <w:highlight w:val="none"/>
              </w:rPr>
              <w:t xml:space="preserve">按照国家法律法规要求执行</w:t>
            </w:r>
            <w:r/>
          </w:p>
        </w:tc>
      </w:tr>
      <w:tr>
        <w:trPr>
          <w:trHeight w:val="667"/>
        </w:trPr>
        <w:tc>
          <w:tcPr>
            <w:tcW w:w="1607" w:type="dxa"/>
            <w:vAlign w:val="center"/>
            <w:vMerge w:val="restart"/>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商品包装环保要求：应当按《关于印发〈商品包装政府采购需求标准（试行）〉、〈快递包装政府采购需求标准（试行）〉的通知》（财办库〔2020〕123号）文件执行。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（1）商品包装层数不得超过3层，空隙率不大于 40%；</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（2）商品包装尽可能使用单一材质的包装材料，如因功能需求必需使用不同材质，不同材质间应便于分离；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（3）商品包装中铅、汞、镉、六价铬的总含量应不大于100mg/kg；</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（4）商品包装印刷使用的油墨中挥发性有机化合物(VOCs)含量应不大于 5%（以重量计）；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（5）塑料材质商品包装上呈现的印刷颜色不得超过6 色；</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（6）纸质商品包装应使用75%以上的可再生纤维原料生产；</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（7）木质商品包装的原料应来源于可持续性森林。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快递包装环保要求：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（1）快递包装中重金属（铅、汞、镉、六价铬）总量应不大于 100mg/kg；</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（2）快递包装印刷使用的油墨中不应添加邻苯二甲酸酯，其挥发性有机化合物(VOCs)含量应不大于5%（以重量计）；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（3）快递包装中使用纸基材的包装材料，纸基材中的有机氯的含量应不大于 150 mg/kg；</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（5）快递中使用的塑料包装袋不得使用聚氯乙烯作为原料，且原料应为单一材质制成，生物分解率大于60%；</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（6）快递中使用的充气类填充物不得使用聚氯乙烯作为 原料，且原料为单一材质制成，生物分解率大于60%；</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（7）快递中使用的集装袋应为单一材质制成，其重复使用次数应不小于 80 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（8）快递中应使用幅宽不大于45mm 的生物降解胶带；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（9）快递包装中不得使用溶剂型胶粘剂；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（11）快递应使用电子面单；</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（12）直接使用商品包装作为快递包装的商品，其商品包装满足《商品包装政府采购需求标准（试行）》即可；</w:t>
            </w:r>
            <w:r/>
          </w:p>
          <w:p>
            <w:pPr>
              <w:spacing w:line="360" w:lineRule="auto"/>
              <w:rPr>
                <w:color w:val="auto"/>
                <w:szCs w:val="24"/>
                <w:highlight w:val="none"/>
              </w:rPr>
            </w:pPr>
            <w:r>
              <w:rPr>
                <w:rFonts w:hint="eastAsia" w:ascii="宋体" w:hAnsi="宋体" w:cs="宋体"/>
                <w:color w:val="auto"/>
                <w:szCs w:val="21"/>
                <w:highlight w:val="none"/>
              </w:rPr>
              <w:t xml:space="preserve">（13）快递包装产品质量和封装方式应符合相关国家或行业标准技术指标要求。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spacing w:after="160" w:line="278" w:lineRule="auto"/>
              <w:rPr>
                <w:color w:val="auto"/>
                <w:szCs w:val="24"/>
                <w:highlight w:val="none"/>
              </w:rPr>
            </w:pPr>
            <w:r>
              <w:rPr>
                <w:rFonts w:hint="eastAsia" w:ascii="宋体" w:hAnsi="宋体" w:cs="宋体"/>
                <w:color w:val="auto"/>
                <w:highlight w:val="none"/>
              </w:rPr>
              <w:t xml:space="preserve">按照甲方要求</w:t>
            </w:r>
            <w:r/>
          </w:p>
        </w:tc>
      </w:tr>
      <w:tr>
        <w:trPr>
          <w:trHeight w:val="772"/>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spacing w:after="160" w:line="278" w:lineRule="auto"/>
              <w:rPr>
                <w:color w:val="auto"/>
                <w:szCs w:val="24"/>
                <w:highlight w:val="none"/>
              </w:rPr>
            </w:pPr>
            <w:r>
              <w:rPr>
                <w:rFonts w:hint="eastAsia" w:ascii="宋体" w:hAnsi="宋体" w:cs="宋体"/>
                <w:color w:val="auto"/>
                <w:highlight w:val="none"/>
              </w:rPr>
              <w:t xml:space="preserve">运费已包含在合同价内。</w:t>
            </w:r>
            <w:r/>
          </w:p>
        </w:tc>
      </w:tr>
      <w:tr>
        <w:trPr>
          <w:trHeight w:val="667"/>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spacing w:after="160" w:line="278" w:lineRule="auto"/>
              <w:rPr>
                <w:color w:val="auto"/>
                <w:szCs w:val="24"/>
                <w:highlight w:val="none"/>
              </w:rPr>
            </w:pPr>
            <w:r>
              <w:rPr>
                <w:rFonts w:hint="eastAsia" w:ascii="宋体" w:hAnsi="宋体" w:cs="宋体"/>
                <w:color w:val="auto"/>
                <w:highlight w:val="none"/>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自交货并验收合格之日起计</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年（整机）。</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spacing w:after="160" w:line="278" w:lineRule="auto"/>
              <w:rPr>
                <w:rFonts w:ascii="宋体" w:hAnsi="宋体" w:cs="宋体"/>
                <w:color w:val="auto"/>
                <w:highlight w:val="none"/>
              </w:rPr>
            </w:pPr>
            <w:r>
              <w:rPr>
                <w:rFonts w:hint="eastAsia" w:ascii="宋体" w:hAnsi="宋体" w:cs="宋体"/>
                <w:color w:val="auto"/>
                <w:highlight w:val="none"/>
              </w:rPr>
              <w:t xml:space="preserve">售后服务</w:t>
            </w:r>
            <w:r/>
          </w:p>
          <w:p>
            <w:pPr>
              <w:spacing w:after="160" w:line="278" w:lineRule="auto"/>
              <w:rPr>
                <w:rFonts w:hint="eastAsia" w:ascii="宋体" w:hAnsi="宋体" w:cs="宋体"/>
                <w:color w:val="auto"/>
                <w:highlight w:val="none"/>
              </w:rPr>
            </w:pPr>
            <w:r>
              <w:rPr>
                <w:rFonts w:hint="eastAsia" w:ascii="宋体" w:hAnsi="宋体" w:cs="宋体"/>
                <w:color w:val="auto"/>
                <w:highlight w:val="none"/>
              </w:rPr>
              <w:t xml:space="preserve">1.设备维护措施：自验收合格之日起，进入保修期；保修期内，保证零配件的免费供应。保修期后，终身维护，保证零配件的供应十年，维修只收取配件费(按市场报价的80%优惠提供)，不收人工费；维修承诺必须有生产单位签注；提供软件终身免费升级。</w:t>
            </w:r>
            <w:r/>
          </w:p>
          <w:p>
            <w:pPr>
              <w:spacing w:after="160" w:line="278" w:lineRule="auto"/>
              <w:rPr>
                <w:rFonts w:hint="eastAsia" w:ascii="宋体" w:hAnsi="宋体" w:cs="宋体"/>
                <w:color w:val="auto"/>
                <w:highlight w:val="none"/>
              </w:rPr>
            </w:pPr>
            <w:r>
              <w:rPr>
                <w:rFonts w:hint="eastAsia" w:ascii="宋体" w:hAnsi="宋体" w:cs="宋体"/>
                <w:color w:val="auto"/>
                <w:highlight w:val="none"/>
              </w:rPr>
              <w:t xml:space="preserve">2.故障响应时间：供应商售后服务部需提供每周7天，每天24小时的热线电话服务，由专门的技术人员受理用户电话咨询和故障申告，保证用户在使用设备的过程中，及时得到技术上的支持和服务。</w:t>
            </w:r>
            <w:r/>
          </w:p>
          <w:p>
            <w:pPr>
              <w:spacing w:after="160" w:line="278" w:lineRule="auto"/>
              <w:rPr>
                <w:rFonts w:hint="eastAsia" w:ascii="宋体" w:hAnsi="宋体" w:cs="宋体"/>
                <w:color w:val="auto"/>
                <w:highlight w:val="none"/>
              </w:rPr>
            </w:pPr>
            <w:r>
              <w:rPr>
                <w:rFonts w:hint="eastAsia" w:ascii="宋体" w:hAnsi="宋体" w:cs="宋体"/>
                <w:color w:val="auto"/>
                <w:highlight w:val="none"/>
              </w:rPr>
              <w:t xml:space="preserve">3.维修与备品备件服务：提供国内免费客户服务热线号码和国内维修站电话和地址。供应商保证8小时内维修服务响应，必要时能提供备用机。</w:t>
            </w:r>
            <w:r/>
          </w:p>
          <w:p>
            <w:pPr>
              <w:spacing w:after="160" w:line="278" w:lineRule="auto"/>
              <w:rPr>
                <w:rFonts w:hint="eastAsia" w:ascii="宋体" w:hAnsi="宋体" w:cs="宋体"/>
                <w:color w:val="auto"/>
                <w:highlight w:val="none"/>
              </w:rPr>
            </w:pPr>
            <w:r>
              <w:rPr>
                <w:rFonts w:hint="eastAsia" w:ascii="宋体" w:hAnsi="宋体" w:cs="宋体"/>
                <w:color w:val="auto"/>
                <w:highlight w:val="none"/>
              </w:rPr>
              <w:t xml:space="preserve">4.技术服务信息：要求提供售后服务机构名称、地址，以及专业技术人员名单和联系电话。</w:t>
            </w:r>
            <w:r/>
          </w:p>
          <w:p>
            <w:pPr>
              <w:jc w:val="left"/>
              <w:spacing w:after="160" w:line="278" w:lineRule="auto"/>
              <w:rPr>
                <w:rFonts w:hint="eastAsia" w:ascii="宋体" w:hAnsi="宋体" w:cs="宋体"/>
                <w:color w:val="auto"/>
                <w:highlight w:val="none"/>
              </w:rPr>
            </w:pPr>
            <w:r>
              <w:rPr>
                <w:rFonts w:hint="eastAsia" w:ascii="宋体" w:hAnsi="宋体" w:cs="宋体"/>
                <w:color w:val="auto"/>
                <w:highlight w:val="none"/>
              </w:rPr>
            </w:r>
            <w:r/>
          </w:p>
        </w:tc>
      </w:tr>
      <w:tr>
        <w:trPr>
          <w:trHeight w:val="736"/>
        </w:trPr>
        <w:tc>
          <w:tcPr>
            <w:tcW w:w="1607" w:type="dxa"/>
            <w:vAlign w:val="center"/>
            <w:textDirection w:val="lrTb"/>
            <w:noWrap w:val="false"/>
          </w:tcPr>
          <w:p>
            <w:pPr>
              <w:jc w:val="center"/>
              <w:spacing w:after="160" w:line="278"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spacing w:after="160" w:line="400" w:lineRule="exact"/>
              <w:widowControl/>
              <w:rPr>
                <w:rFonts w:hint="eastAsia" w:ascii="华文楷体" w:hAnsi="华文楷体" w:eastAsia="华文楷体" w:cs="华文楷体"/>
                <w:color w:val="auto"/>
                <w:sz w:val="22"/>
                <w:szCs w:val="21"/>
                <w:highlight w:val="none"/>
              </w:rPr>
            </w:pPr>
            <w:r>
              <w:rPr>
                <w:rFonts w:hint="eastAsia" w:ascii="宋体" w:hAnsi="宋体" w:cs="宋体"/>
                <w:color w:val="auto"/>
                <w:sz w:val="22"/>
                <w:szCs w:val="21"/>
                <w:highlight w:val="none"/>
              </w:rPr>
              <w:t xml:space="preserve">第11.1款</w:t>
            </w:r>
            <w:r/>
          </w:p>
        </w:tc>
        <w:tc>
          <w:tcPr>
            <w:tcW w:w="1742" w:type="dxa"/>
            <w:vAlign w:val="center"/>
            <w:textDirection w:val="lrTb"/>
            <w:noWrap w:val="false"/>
          </w:tcPr>
          <w:p>
            <w:pP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s="宋体"/>
                <w:color w:val="auto"/>
                <w:highlight w:val="none"/>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spacing w:after="160" w:line="400" w:lineRule="exact"/>
              <w:rPr>
                <w:rFonts w:hint="eastAsia"/>
                <w:color w:val="auto"/>
                <w:szCs w:val="24"/>
                <w:highlight w:val="none"/>
              </w:rPr>
            </w:pPr>
            <w:r>
              <w:rPr>
                <w:rFonts w:hint="eastAsia"/>
                <w:color w:val="auto"/>
                <w:szCs w:val="24"/>
                <w:highlight w:val="none"/>
              </w:rPr>
              <w:t xml:space="preserve">签订合同后30日内支付合同金额的30%，项目验收合格后支付至合同金额的80%，余款待验收合格满五年后30日内付清。</w:t>
            </w:r>
            <w:r/>
          </w:p>
        </w:tc>
      </w:tr>
      <w:tr>
        <w:trPr>
          <w:trHeight w:val="697"/>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发生以下情况的，履约保证金不予退还或部分退还： a.签订合同后，乙方不履行合同义务的，甲方有权全额扣除履约保证金，全额不予退还，同时甲方亦有权终止合同，乙方还须承担相应的法律赔偿责任。</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s="宋体"/>
                <w:color w:val="auto"/>
                <w:highlight w:val="none"/>
              </w:rPr>
              <w:t xml:space="preserve">乙方全部履约合同义务，经甲方验收合格无质量、进度等问题的，甲方在验收合格后一次性退还履约保证金。甲方若无故逾期退还履约保证金的，按照逾期部分的每日0.05%支付违约金。</w:t>
            </w:r>
            <w:r/>
          </w:p>
        </w:tc>
      </w:tr>
      <w:tr>
        <w:trPr>
          <w:trHeight w:val="784"/>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84"/>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应甲方要求，乙方应提供下列服务的一项或各项，所有服务费用已包含在合同总价中。</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1.安装</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1.1乙方必须向甲方提供合同货物安装所需的材料及技术资料以及组装/维修所需工具。</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1.3乙方已对甲方现场进行详细考察，完全了解现场的状况及环境要求，并承诺不因上述原因对甲方索赔。</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u w:val="single"/>
              </w:rPr>
            </w:pPr>
            <w:r>
              <w:rPr>
                <w:rFonts w:hint="eastAsia" w:ascii="宋体" w:hAnsi="宋体"/>
                <w:color w:val="auto"/>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w:t>
            </w:r>
            <w:r/>
          </w:p>
        </w:tc>
      </w:tr>
      <w:tr>
        <w:trPr>
          <w:trHeight w:val="876"/>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w:t>
            </w:r>
            <w:r/>
          </w:p>
        </w:tc>
      </w:tr>
      <w:tr>
        <w:trPr>
          <w:trHeight w:val="90"/>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spacing w:after="160"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(2)  </w:t>
            </w:r>
            <w:r>
              <w:rPr>
                <w:rFonts w:hint="eastAsia" w:ascii="宋体" w:hAnsi="宋体" w:cs="宋体"/>
                <w:iCs/>
                <w:color w:val="auto"/>
                <w:szCs w:val="21"/>
                <w:highlight w:val="none"/>
              </w:rPr>
              <w:t xml:space="preserve">种方式解决：</w:t>
            </w:r>
            <w:r/>
          </w:p>
          <w:p>
            <w:pPr>
              <w:jc w:val="left"/>
              <w:spacing w:after="160"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highlight w:val="none"/>
                <w:u w:val="single"/>
              </w:rPr>
              <w:t xml:space="preserve">南通市</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spacing w:after="160" w:line="278" w:lineRule="auto"/>
              <w:rPr>
                <w:rFonts w:hint="eastAsia"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highlight w:val="none"/>
                <w:u w:val="single"/>
              </w:rPr>
              <w:t xml:space="preserve">通州区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spacing w:after="160" w:line="278" w:lineRule="auto"/>
              <w:rPr>
                <w:rFonts w:hint="eastAsia" w:ascii="宋体" w:hAnsi="宋体"/>
                <w:color w:val="auto"/>
                <w:szCs w:val="21"/>
                <w:highlight w:val="none"/>
              </w:rPr>
            </w:pPr>
            <w:r>
              <w:rPr>
                <w:rFonts w:hint="eastAsia" w:ascii="宋体" w:hAnsi="宋体"/>
                <w:color w:val="auto"/>
                <w:szCs w:val="21"/>
                <w:highlight w:val="none"/>
              </w:rPr>
              <w:t xml:space="preserve">/</w:t>
            </w:r>
            <w:r/>
          </w:p>
        </w:tc>
      </w:tr>
    </w:tbl>
    <w:p>
      <w:pPr>
        <w:jc w:val="left"/>
        <w:spacing w:after="160" w:line="278" w:lineRule="auto"/>
        <w:rPr>
          <w:rFonts w:hint="eastAsia" w:ascii="宋体" w:hAnsi="宋体"/>
          <w:bCs/>
          <w:color w:val="auto"/>
          <w:szCs w:val="21"/>
          <w:highlight w:val="none"/>
        </w:rPr>
      </w:pPr>
      <w:r>
        <w:rPr>
          <w:rFonts w:hint="eastAsia" w:ascii="宋体" w:hAnsi="宋体"/>
          <w:bCs/>
          <w:color w:val="auto"/>
          <w:szCs w:val="21"/>
          <w:highlight w:val="none"/>
        </w:rPr>
        <w:t xml:space="preserve">发包人保留对本合同修改的权利。</w:t>
      </w:r>
      <w:r/>
    </w:p>
    <w:p>
      <w:pPr>
        <w:rPr>
          <w:rFonts w:hint="eastAsia" w:ascii="宋体" w:hAnsi="宋体" w:cs="宋体"/>
          <w:color w:val="auto"/>
          <w:szCs w:val="20"/>
          <w:highlight w:val="none"/>
        </w:rPr>
      </w:pPr>
      <w:r>
        <w:rPr>
          <w:rFonts w:hint="eastAsia" w:ascii="宋体" w:hAnsi="宋体" w:cs="宋体"/>
          <w:color w:val="auto"/>
          <w:szCs w:val="20"/>
          <w:highlight w:val="none"/>
        </w:rPr>
      </w:r>
      <w:r/>
    </w:p>
    <w:p>
      <w:pPr>
        <w:jc w:val="center"/>
        <w:spacing w:before="120" w:after="120" w:line="0" w:lineRule="atLeast"/>
        <w:rPr>
          <w:rFonts w:hint="eastAsia" w:ascii="宋体" w:hAnsi="宋体" w:cs="Courier New"/>
          <w:color w:val="auto"/>
          <w:sz w:val="24"/>
          <w:szCs w:val="24"/>
          <w:highlight w:val="none"/>
        </w:rPr>
      </w:pPr>
      <w:r>
        <w:rPr>
          <w:rFonts w:ascii="黑体" w:hAnsi="Courier New" w:eastAsia="黑体" w:cs="Courier New"/>
          <w:bCs/>
          <w:color w:val="auto"/>
          <w:sz w:val="44"/>
          <w:szCs w:val="21"/>
          <w:highlight w:val="none"/>
        </w:rPr>
        <w:br w:type="page" w:clear="all"/>
      </w:r>
      <w:r>
        <w:rPr>
          <w:rFonts w:hint="eastAsia" w:ascii="黑体" w:hAnsi="Courier New" w:eastAsia="黑体" w:cs="Courier New"/>
          <w:bCs/>
          <w:color w:val="auto"/>
          <w:sz w:val="44"/>
          <w:szCs w:val="21"/>
          <w:highlight w:val="none"/>
        </w:rPr>
        <w:t xml:space="preserve">第</w:t>
      </w:r>
      <w:bookmarkEnd w:id="172"/>
      <w:r>
        <w:rPr>
          <w:rFonts w:hint="eastAsia" w:ascii="黑体" w:hAnsi="Courier New" w:eastAsia="黑体" w:cs="Courier New"/>
          <w:bCs/>
          <w:color w:val="auto"/>
          <w:sz w:val="44"/>
          <w:szCs w:val="21"/>
          <w:highlight w:val="none"/>
        </w:rPr>
        <w:t xml:space="preserve">四章 采购需求</w:t>
      </w:r>
      <w:bookmarkEnd w:id="173"/>
      <w:r/>
      <w:bookmarkEnd w:id="174"/>
      <w:r/>
      <w:bookmarkEnd w:id="175"/>
      <w:r/>
      <w:r/>
    </w:p>
    <w:p>
      <w:pPr>
        <w:spacing w:line="0" w:lineRule="atLeast"/>
        <w:rPr>
          <w:rFonts w:hint="eastAsia" w:ascii="宋体" w:hAnsi="宋体"/>
          <w:color w:val="auto"/>
          <w:sz w:val="24"/>
          <w:szCs w:val="24"/>
          <w:highlight w:val="none"/>
        </w:rPr>
      </w:pPr>
      <w:r/>
      <w:bookmarkStart w:id="184" w:name="_Toc26554093"/>
      <w:r/>
      <w:bookmarkStart w:id="185" w:name="_Toc49090575"/>
      <w:r>
        <w:rPr>
          <w:rFonts w:hint="eastAsia" w:ascii="宋体" w:hAnsi="宋体"/>
          <w:color w:val="auto"/>
          <w:sz w:val="24"/>
          <w:szCs w:val="24"/>
          <w:highlight w:val="none"/>
        </w:rPr>
        <w:t xml:space="preserve">项目属性:货物类项目。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不能简单照搬照抄招标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numPr>
          <w:ilvl w:val="0"/>
          <w:numId w:val="12"/>
        </w:num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采购内容</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.1固网平面建设</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南通市通州区新一代电子政务外网固网平面建设主要包括广域网建设、城域网建设等，将原来的政务网区划分为广域网和城域网2个网络区域。</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南通市通州区广域网建设可利旧电子政务外网现有2台对接市电子政务外网边界路由器设备，支持网络切片、SRv6等协议，配置了万兆接口，满足新一代电子政务外网建设要求。</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新配置的路由器设备须支持网络切片、SRv6等协议外，还须满足能够与市级统建的SDN控制器进行对接，实现统一管理。区骨干网络根据省、市规划进行网络切片，保障各业务正常运行。各部门、业务VPN规划可延续现有电子政务外网VPN规划，方便整体网络规划以及降低实施难度，并根据省统一进行地址规划分配。</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.2移动网络平面建设</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南通市通州区不再单独建设该移动平面，而是由市级统一提供服务保障，根据市级部署，由市级统筹推进统一移动网络平面建设，整合各运营商基础设施能力，构建政务专用移动平面。</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运行管理体系建设</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省、市新一代电子政务外网建设要求，此次南通市将统一建设运行管理平台，以及市级跨域编辑器、SDN控制器等。南通市通州区利用市级平台分配的管理权限进行对本区网络进行管理维护。通过新建的路由和汇聚设备，实现网覆盖的SDN接入和5级网络监控。</w:t>
      </w:r>
      <w:r/>
    </w:p>
    <w:p>
      <w:pPr>
        <w:numPr>
          <w:ilvl w:val="0"/>
          <w:numId w:val="13"/>
        </w:numPr>
        <w:ind w:firstLine="480"/>
        <w:spacing w:line="500" w:lineRule="exact"/>
        <w:rPr>
          <w:rFonts w:hint="eastAsia" w:ascii="仿宋" w:hAnsi="仿宋" w:eastAsia="仿宋"/>
          <w:color w:val="auto"/>
          <w:sz w:val="28"/>
          <w:szCs w:val="28"/>
          <w:highlight w:val="none"/>
          <w:lang w:val="en-US" w:eastAsia="zh-CN"/>
        </w:rPr>
      </w:pPr>
      <w:r/>
      <w:bookmarkStart w:id="186" w:name="_Toc120614281"/>
      <w:r>
        <w:rPr>
          <w:rFonts w:hint="eastAsia" w:ascii="仿宋" w:hAnsi="仿宋" w:eastAsia="仿宋"/>
          <w:color w:val="auto"/>
          <w:sz w:val="28"/>
          <w:szCs w:val="28"/>
          <w:highlight w:val="none"/>
          <w:lang w:val="en-US" w:eastAsia="zh-CN"/>
        </w:rPr>
        <w:t xml:space="preserve">采购标的清单</w:t>
      </w:r>
      <w:r/>
    </w:p>
    <w:tbl>
      <w:tblPr>
        <w:tblStyle w:val="879"/>
        <w:tblW w:w="4571"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852"/>
        <w:gridCol w:w="2608"/>
        <w:gridCol w:w="777"/>
        <w:gridCol w:w="777"/>
      </w:tblGrid>
      <w:tr>
        <w:trPr>
          <w:jc w:val="cente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color w:val="auto"/>
                <w:sz w:val="24"/>
                <w:szCs w:val="24"/>
                <w:highlight w:val="none"/>
              </w:rPr>
              <w:suppressLineNumbers w:val="0"/>
            </w:pPr>
            <w:r>
              <w:rPr>
                <w:rFonts w:ascii="仿宋" w:hAnsi="仿宋" w:eastAsia="仿宋" w:cs="仿宋"/>
                <w:b/>
                <w:bCs/>
                <w:i w:val="0"/>
                <w:iCs w:val="0"/>
                <w:color w:val="auto"/>
                <w:spacing w:val="0"/>
                <w:sz w:val="24"/>
                <w:szCs w:val="24"/>
                <w:highlight w:val="none"/>
                <w:vertAlign w:val="baseli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color w:val="auto"/>
                <w:sz w:val="24"/>
                <w:szCs w:val="24"/>
                <w:highlight w:val="none"/>
              </w:rPr>
              <w:suppressLineNumbers w:val="0"/>
            </w:pPr>
            <w:r>
              <w:rPr>
                <w:rFonts w:hint="eastAsia" w:ascii="仿宋" w:hAnsi="仿宋" w:eastAsia="仿宋" w:cs="仿宋"/>
                <w:b/>
                <w:bCs/>
                <w:i w:val="0"/>
                <w:iCs w:val="0"/>
                <w:color w:val="auto"/>
                <w:spacing w:val="0"/>
                <w:sz w:val="24"/>
                <w:szCs w:val="24"/>
                <w:highlight w:val="none"/>
                <w:vertAlign w:val="baseline"/>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color w:val="auto"/>
                <w:sz w:val="24"/>
                <w:szCs w:val="24"/>
                <w:highlight w:val="none"/>
              </w:rPr>
              <w:suppressLineNumbers w:val="0"/>
            </w:pPr>
            <w:r>
              <w:rPr>
                <w:rFonts w:hint="eastAsia" w:ascii="仿宋" w:hAnsi="仿宋" w:eastAsia="仿宋" w:cs="仿宋"/>
                <w:b/>
                <w:bCs/>
                <w:i w:val="0"/>
                <w:iCs w:val="0"/>
                <w:color w:val="auto"/>
                <w:spacing w:val="0"/>
                <w:sz w:val="24"/>
                <w:szCs w:val="24"/>
                <w:highlight w:val="none"/>
                <w:vertAlign w:val="baseline"/>
              </w:rPr>
              <w:t xml:space="preserve">设备配置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color w:val="auto"/>
                <w:sz w:val="24"/>
                <w:szCs w:val="24"/>
                <w:highlight w:val="none"/>
              </w:rPr>
              <w:suppressLineNumbers w:val="0"/>
            </w:pPr>
            <w:r>
              <w:rPr>
                <w:rFonts w:hint="eastAsia" w:ascii="仿宋" w:hAnsi="仿宋" w:eastAsia="仿宋" w:cs="仿宋"/>
                <w:b/>
                <w:bCs/>
                <w:i w:val="0"/>
                <w:iCs w:val="0"/>
                <w:color w:val="auto"/>
                <w:spacing w:val="0"/>
                <w:sz w:val="24"/>
                <w:szCs w:val="24"/>
                <w:highlight w:val="none"/>
                <w:vertAlign w:val="baseli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color w:val="auto"/>
                <w:sz w:val="24"/>
                <w:szCs w:val="24"/>
                <w:highlight w:val="none"/>
              </w:rPr>
              <w:suppressLineNumbers w:val="0"/>
            </w:pPr>
            <w:r>
              <w:rPr>
                <w:rFonts w:hint="eastAsia" w:ascii="仿宋" w:hAnsi="仿宋" w:eastAsia="仿宋" w:cs="仿宋"/>
                <w:b/>
                <w:bCs/>
                <w:i w:val="0"/>
                <w:iCs w:val="0"/>
                <w:color w:val="auto"/>
                <w:spacing w:val="0"/>
                <w:sz w:val="24"/>
                <w:szCs w:val="24"/>
                <w:highlight w:val="none"/>
                <w:vertAlign w:val="baseline"/>
              </w:rPr>
              <w:t xml:space="preserve">数量</w:t>
            </w:r>
            <w:r/>
          </w:p>
        </w:tc>
      </w:tr>
      <w:tr>
        <w:trPr>
          <w:jc w:val="center"/>
          <w:trHeight w:val="16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市民中心楼汇聚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5</w:t>
            </w:r>
            <w:r/>
          </w:p>
        </w:tc>
      </w:tr>
      <w:tr>
        <w:trPr>
          <w:jc w:val="center"/>
          <w:trHeight w:val="16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行政中心1号楼汇聚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2</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接入交换机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40</w:t>
            </w:r>
            <w:r/>
          </w:p>
        </w:tc>
      </w:tr>
      <w:tr>
        <w:trPr>
          <w:jc w:val="center"/>
          <w:trHeight w:val="10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多模10G光模块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多模10G光模块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120</w:t>
            </w:r>
            <w:r/>
          </w:p>
        </w:tc>
      </w:tr>
      <w:tr>
        <w:trPr>
          <w:jc w:val="center"/>
          <w:trHeight w:val="10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汇聚路由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6</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光闸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2</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管理平板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管理电脑（C86配置）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2</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管理电脑（龙芯配置）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管理电脑（ARM配置）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详见设备参数要求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系统集成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08"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系统集成实施及辅材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dxa"/>
            <w:vAlign w:val="center"/>
            <w:textDirection w:val="lrTb"/>
            <w:noWrap w:val="false"/>
          </w:tcPr>
          <w:p>
            <w:pPr>
              <w:pStyle w:val="1110"/>
              <w:ind w:left="0" w:right="0"/>
              <w:jc w:val="center"/>
              <w:keepLines w:val="0"/>
              <w:keepNext w:val="0"/>
              <w:spacing w:before="0" w:beforeAutospacing="0" w:after="0" w:afterAutospacing="0"/>
              <w:widowControl/>
              <w:rPr>
                <w:rFonts w:hint="default" w:ascii="仿宋" w:hAnsi="仿宋" w:eastAsia="仿宋" w:cs="仿宋"/>
                <w:b w:val="0"/>
                <w:bCs w:val="0"/>
                <w:i w:val="0"/>
                <w:iCs w:val="0"/>
                <w:color w:val="auto"/>
                <w:spacing w:val="0"/>
                <w:sz w:val="24"/>
                <w:szCs w:val="24"/>
                <w:highlight w:val="none"/>
                <w:vertAlign w:val="baseline"/>
                <w:lang w:val="en-US" w:eastAsia="zh-CN"/>
              </w:rPr>
              <w:suppressLineNumbers w:val="0"/>
            </w:pPr>
            <w:r>
              <w:rPr>
                <w:rFonts w:hint="eastAsia" w:ascii="仿宋" w:hAnsi="仿宋" w:eastAsia="仿宋" w:cs="仿宋"/>
                <w:b w:val="0"/>
                <w:bCs w:val="0"/>
                <w:i w:val="0"/>
                <w:iCs w:val="0"/>
                <w:color w:val="auto"/>
                <w:spacing w:val="0"/>
                <w:sz w:val="24"/>
                <w:szCs w:val="24"/>
                <w:highlight w:val="none"/>
                <w:vertAlign w:val="baseline"/>
                <w:lang w:val="en-US" w:eastAsia="zh-CN"/>
              </w:rPr>
              <w:t xml:space="preserve">1</w:t>
            </w:r>
            <w:r/>
          </w:p>
        </w:tc>
      </w:tr>
    </w:tbl>
    <w:p>
      <w:pPr>
        <w:rPr>
          <w:rFonts w:hint="eastAsia"/>
          <w:color w:val="auto"/>
          <w:highlight w:val="none"/>
          <w:lang w:val="en-US" w:eastAsia="zh-CN"/>
        </w:rPr>
      </w:pPr>
      <w:r>
        <w:rPr>
          <w:rFonts w:hint="eastAsia"/>
          <w:color w:val="auto"/>
          <w:highlight w:val="none"/>
          <w:lang w:val="en-US" w:eastAsia="zh-CN"/>
        </w:rPr>
      </w:r>
      <w:r/>
    </w:p>
    <w:p>
      <w:pPr>
        <w:numPr>
          <w:ilvl w:val="0"/>
          <w:numId w:val="13"/>
        </w:numPr>
        <w:ind w:left="0" w:firstLine="480"/>
        <w:jc w:val="left"/>
        <w:keepNext/>
        <w:rPr>
          <w:rFonts w:hint="eastAsia" w:ascii="仿宋" w:hAnsi="仿宋" w:eastAsia="仿宋" w:cs="Times New Roman"/>
          <w:color w:val="auto"/>
          <w:sz w:val="28"/>
          <w:szCs w:val="28"/>
          <w:highlight w:val="none"/>
          <w:lang w:val="en-US" w:eastAsia="zh-CN"/>
        </w:rPr>
        <w:outlineLvl w:val="0"/>
      </w:pPr>
      <w:r>
        <w:rPr>
          <w:rFonts w:hint="eastAsia" w:ascii="仿宋" w:hAnsi="仿宋" w:eastAsia="仿宋" w:cs="Times New Roman"/>
          <w:color w:val="auto"/>
          <w:sz w:val="28"/>
          <w:szCs w:val="28"/>
          <w:highlight w:val="none"/>
          <w:lang w:val="en-US" w:eastAsia="zh-CN"/>
        </w:rPr>
        <w:t xml:space="preserve">设备参数要求</w:t>
      </w:r>
      <w:r/>
    </w:p>
    <w:p>
      <w:pPr>
        <w:pStyle w:val="910"/>
        <w:numPr>
          <w:ilvl w:val="0"/>
          <w:numId w:val="14"/>
        </w:numP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汇聚路由器</w:t>
      </w:r>
      <w:r/>
    </w:p>
    <w:tbl>
      <w:tblPr>
        <w:tblStyle w:val="879"/>
        <w:tblW w:w="5833"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8383"/>
      </w:tblGrid>
      <w:tr>
        <w:trPr>
          <w:trHeight w:val="385"/>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cente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tcPr>
          <w:p>
            <w:pPr>
              <w:jc w:val="cente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750"/>
        </w:trPr>
        <w:tc>
          <w:tcPr>
            <w:tcBorders>
              <w:top w:val="single" w:color="auto" w:sz="4" w:space="0"/>
              <w:left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产品架构及性能</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交换容量≥2</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0Tbps，包转发率≥</w:t>
            </w:r>
            <w:r>
              <w:rPr>
                <w:rFonts w:ascii="仿宋" w:hAnsi="仿宋" w:eastAsia="仿宋" w:cs="宋体"/>
                <w:color w:val="auto"/>
                <w:sz w:val="24"/>
                <w:szCs w:val="24"/>
                <w:highlight w:val="none"/>
              </w:rPr>
              <w:t xml:space="preserve">54</w:t>
            </w:r>
            <w:r>
              <w:rPr>
                <w:rFonts w:hint="eastAsia" w:ascii="仿宋" w:hAnsi="仿宋" w:eastAsia="仿宋" w:cs="宋体"/>
                <w:color w:val="auto"/>
                <w:sz w:val="24"/>
                <w:szCs w:val="24"/>
                <w:highlight w:val="none"/>
              </w:rPr>
              <w:t xml:space="preserve">000Mpps；</w:t>
            </w:r>
            <w:bookmarkStart w:id="187" w:name="OLE_LINK3"/>
            <w:r/>
            <w:bookmarkStart w:id="188" w:name="OLE_LINK2"/>
            <w:r>
              <w:rPr>
                <w:rFonts w:hint="eastAsia" w:ascii="仿宋" w:hAnsi="仿宋" w:eastAsia="仿宋" w:cs="宋体"/>
                <w:color w:val="auto"/>
                <w:sz w:val="24"/>
                <w:szCs w:val="24"/>
                <w:highlight w:val="none"/>
              </w:rPr>
              <w:t xml:space="preserve">满足自主可控要求，关键芯片国产化，</w:t>
            </w:r>
            <w:bookmarkEnd w:id="187"/>
            <w:r/>
            <w:bookmarkEnd w:id="188"/>
            <w:r>
              <w:rPr>
                <w:rFonts w:hint="eastAsia" w:ascii="仿宋" w:hAnsi="仿宋" w:eastAsia="仿宋" w:cs="宋体"/>
                <w:color w:val="auto"/>
                <w:sz w:val="24"/>
                <w:szCs w:val="24"/>
                <w:highlight w:val="none"/>
              </w:rPr>
              <w:t xml:space="preserve">如CPU，交换芯片，内存等；</w:t>
            </w:r>
            <w:r/>
          </w:p>
        </w:tc>
      </w:tr>
      <w:tr>
        <w:trPr/>
        <w:tc>
          <w:tcPr>
            <w:tcBorders>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接口要求</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支持子母卡架构，子卡插在母卡上，母卡和子卡均支持热插拔，实配万兆以太网光口≥</w:t>
            </w:r>
            <w:r>
              <w:rPr>
                <w:rFonts w:ascii="仿宋" w:hAnsi="仿宋" w:eastAsia="仿宋" w:cs="宋体"/>
                <w:color w:val="auto"/>
                <w:sz w:val="24"/>
                <w:szCs w:val="24"/>
                <w:highlight w:val="none"/>
              </w:rPr>
              <w:t xml:space="preserve">12</w:t>
            </w:r>
            <w:r>
              <w:rPr>
                <w:rFonts w:hint="eastAsia" w:ascii="仿宋" w:hAnsi="仿宋" w:eastAsia="仿宋" w:cs="宋体"/>
                <w:color w:val="auto"/>
                <w:sz w:val="24"/>
                <w:szCs w:val="24"/>
                <w:highlight w:val="none"/>
              </w:rPr>
              <w:t xml:space="preserve">；实配≥</w:t>
            </w:r>
            <w:r>
              <w:rPr>
                <w:rFonts w:ascii="仿宋" w:hAnsi="仿宋" w:eastAsia="仿宋" w:cs="宋体"/>
                <w:color w:val="auto"/>
                <w:sz w:val="24"/>
                <w:szCs w:val="24"/>
                <w:highlight w:val="none"/>
              </w:rPr>
              <w:t xml:space="preserve">12</w:t>
            </w:r>
            <w:r>
              <w:rPr>
                <w:rFonts w:hint="eastAsia" w:ascii="仿宋" w:hAnsi="仿宋" w:eastAsia="仿宋" w:cs="宋体"/>
                <w:color w:val="auto"/>
                <w:sz w:val="24"/>
                <w:szCs w:val="24"/>
                <w:highlight w:val="none"/>
              </w:rPr>
              <w:t xml:space="preserve">个10GE单模光模块；本次所配置</w:t>
            </w:r>
            <w:r>
              <w:rPr>
                <w:rFonts w:ascii="仿宋" w:hAnsi="仿宋" w:eastAsia="仿宋" w:cs="宋体"/>
                <w:color w:val="auto"/>
                <w:sz w:val="24"/>
                <w:szCs w:val="24"/>
                <w:highlight w:val="none"/>
              </w:rPr>
              <w:t xml:space="preserve">万兆以太网光口均支持</w:t>
            </w:r>
            <w:r>
              <w:rPr>
                <w:rFonts w:hint="eastAsia" w:ascii="仿宋" w:hAnsi="仿宋" w:eastAsia="仿宋" w:cs="宋体"/>
                <w:color w:val="auto"/>
                <w:sz w:val="24"/>
                <w:szCs w:val="24"/>
                <w:highlight w:val="none"/>
              </w:rPr>
              <w:t xml:space="preserve">FlexE及子接口切片，实配冗余主控，冗余交流电源；</w:t>
            </w:r>
            <w:r/>
          </w:p>
        </w:tc>
      </w:tr>
      <w:tr>
        <w:trPr/>
        <w:tc>
          <w:tcPr>
            <w:tcBorders>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通风方式</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支持前进后出风道，主控、网板、线卡板均支持前后通风；支持冗余风扇框，</w:t>
            </w:r>
            <w:r>
              <w:rPr>
                <w:rFonts w:hint="eastAsia" w:ascii="仿宋" w:hAnsi="仿宋" w:eastAsia="仿宋"/>
                <w:b/>
                <w:color w:val="auto"/>
                <w:sz w:val="24"/>
                <w:szCs w:val="24"/>
                <w:highlight w:val="none"/>
              </w:rPr>
              <w:t xml:space="preserve">（提供</w:t>
            </w:r>
            <w:r>
              <w:rPr>
                <w:rFonts w:hint="eastAsia" w:ascii="仿宋" w:hAnsi="仿宋" w:eastAsia="仿宋"/>
                <w:b/>
                <w:bCs/>
                <w:color w:val="auto"/>
                <w:sz w:val="24"/>
                <w:szCs w:val="24"/>
                <w:highlight w:val="none"/>
              </w:rPr>
              <w:t xml:space="preserve">第三方检测报告证明</w:t>
            </w:r>
            <w:r>
              <w:rPr>
                <w:rFonts w:hint="eastAsia" w:ascii="仿宋" w:hAnsi="仿宋" w:eastAsia="仿宋"/>
                <w:b/>
                <w:color w:val="auto"/>
                <w:sz w:val="24"/>
                <w:szCs w:val="24"/>
                <w:highlight w:val="none"/>
              </w:rPr>
              <w:t xml:space="preserve">）</w:t>
            </w:r>
            <w:r>
              <w:rPr>
                <w:rFonts w:hint="eastAsia" w:ascii="仿宋" w:hAnsi="仿宋" w:eastAsia="仿宋" w:cs="宋体"/>
                <w:b/>
                <w:color w:val="auto"/>
                <w:sz w:val="24"/>
                <w:szCs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bookmarkStart w:id="189" w:name="OLE_LINK4"/>
            <w:r/>
            <w:bookmarkStart w:id="190" w:name="OLE_LINK5"/>
            <w:r>
              <w:rPr>
                <w:rFonts w:hint="eastAsia" w:ascii="仿宋" w:hAnsi="仿宋" w:eastAsia="仿宋"/>
                <w:color w:val="auto"/>
                <w:sz w:val="24"/>
                <w:szCs w:val="24"/>
                <w:highlight w:val="none"/>
              </w:rPr>
              <w:t xml:space="preserve">▲</w:t>
            </w:r>
            <w:bookmarkEnd w:id="189"/>
            <w:r/>
            <w:bookmarkEnd w:id="190"/>
            <w:r>
              <w:rPr>
                <w:rFonts w:hint="eastAsia" w:ascii="仿宋" w:hAnsi="仿宋" w:eastAsia="仿宋" w:cs="宋体"/>
                <w:color w:val="auto"/>
                <w:sz w:val="24"/>
                <w:szCs w:val="24"/>
                <w:highlight w:val="none"/>
              </w:rPr>
              <w:t xml:space="preserve">转发表项</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支持ARP协议，ARP表项≥1M；支持ND协议，ND表项≥1M，</w:t>
            </w:r>
            <w:r>
              <w:rPr>
                <w:rFonts w:hint="eastAsia" w:ascii="仿宋" w:hAnsi="仿宋" w:eastAsia="仿宋"/>
                <w:b/>
                <w:color w:val="auto"/>
                <w:sz w:val="24"/>
                <w:szCs w:val="24"/>
                <w:highlight w:val="none"/>
              </w:rPr>
              <w:t xml:space="preserve">（提供</w:t>
            </w:r>
            <w:r>
              <w:rPr>
                <w:rFonts w:hint="eastAsia" w:ascii="仿宋" w:hAnsi="仿宋" w:eastAsia="仿宋"/>
                <w:b/>
                <w:bCs/>
                <w:color w:val="auto"/>
                <w:sz w:val="24"/>
                <w:szCs w:val="24"/>
                <w:highlight w:val="none"/>
              </w:rPr>
              <w:t xml:space="preserve">第三方检测报告证明</w:t>
            </w:r>
            <w:r>
              <w:rPr>
                <w:rFonts w:hint="eastAsia" w:ascii="仿宋" w:hAnsi="仿宋" w:eastAsia="仿宋"/>
                <w:b/>
                <w:color w:val="auto"/>
                <w:sz w:val="24"/>
                <w:szCs w:val="24"/>
                <w:highlight w:val="none"/>
              </w:rPr>
              <w:t xml:space="preserve">）</w:t>
            </w:r>
            <w:r>
              <w:rPr>
                <w:rFonts w:hint="eastAsia" w:ascii="仿宋" w:hAnsi="仿宋" w:eastAsia="仿宋" w:cs="宋体"/>
                <w:b/>
                <w:color w:val="auto"/>
                <w:sz w:val="24"/>
                <w:szCs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IPv4路由器</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支持IPv4静态路由、RIPv1/v2、OSPFv2、BGP、IS-IS、路由策略；</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IPv</w:t>
            </w:r>
            <w:r>
              <w:rPr>
                <w:rFonts w:ascii="仿宋" w:hAnsi="仿宋" w:eastAsia="仿宋" w:cs="宋体"/>
                <w:color w:val="auto"/>
                <w:sz w:val="24"/>
                <w:szCs w:val="24"/>
                <w:highlight w:val="none"/>
              </w:rPr>
              <w:t xml:space="preserve">6</w:t>
            </w:r>
            <w:r>
              <w:rPr>
                <w:rFonts w:hint="eastAsia" w:ascii="仿宋" w:hAnsi="仿宋" w:eastAsia="仿宋" w:cs="宋体"/>
                <w:color w:val="auto"/>
                <w:sz w:val="24"/>
                <w:szCs w:val="24"/>
                <w:highlight w:val="none"/>
              </w:rPr>
              <w:t xml:space="preserve">路由器</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支持IPv6静态路由、RIPng、OSPFv3、IS-ISv6、BGP4+；</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S</w:t>
            </w:r>
            <w:r>
              <w:rPr>
                <w:rFonts w:ascii="仿宋" w:hAnsi="仿宋" w:eastAsia="仿宋" w:cs="宋体"/>
                <w:color w:val="auto"/>
                <w:sz w:val="24"/>
                <w:szCs w:val="24"/>
                <w:highlight w:val="none"/>
              </w:rPr>
              <w:t xml:space="preserve">Rv6</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设备支持SRv6 TE功能、SRv6 OAM功能、SRv6 TI-LFA、SRv6 SFC伪代理功能、SRv6 SFC静态代理功能；</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切片</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支持硬件切片技术最小颗粒度可达10Mbps，硬件切片粒度最小可支持10Mbps，支持10G、50G、100G的FlexE接口；</w:t>
            </w:r>
            <w:r/>
          </w:p>
        </w:tc>
      </w:tr>
      <w:tr>
        <w:trPr>
          <w:trHeight w:val="759"/>
        </w:trPr>
        <w:tc>
          <w:tcPr>
            <w:tcBorders>
              <w:top w:val="single" w:color="auto" w:sz="4" w:space="0"/>
              <w:left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确定性网络</w:t>
            </w:r>
            <w:r/>
          </w:p>
        </w:tc>
        <w:tc>
          <w:tcPr>
            <w:tcBorders>
              <w:top w:val="single" w:color="auto" w:sz="4" w:space="0"/>
              <w:left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设备支持确定性网络，端到端确定性时延的抖动范围≤20us</w:t>
            </w:r>
            <w:r>
              <w:rPr>
                <w:rFonts w:hint="eastAsia" w:ascii="仿宋" w:hAnsi="仿宋" w:eastAsia="仿宋" w:cs="宋体"/>
                <w:b/>
                <w:color w:val="auto"/>
                <w:sz w:val="24"/>
                <w:szCs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随流检测</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支持通过iFIT随流检测+Telemetry技术,实现基于IP五元组筛选追踪业务流，进行实时检测，精准定位到故障点，丢包、误码类故障，确保业务性能，可以配合分析器进行网络情况界面展示；</w:t>
            </w:r>
            <w:r/>
          </w:p>
        </w:tc>
      </w:tr>
      <w:tr>
        <w:trPr/>
        <w:tc>
          <w:tcPr>
            <w:tcBorders>
              <w:top w:val="single" w:color="auto" w:sz="4" w:space="0"/>
              <w:left w:val="single" w:color="auto" w:sz="4" w:space="0"/>
              <w:bottom w:val="single" w:color="auto" w:sz="4" w:space="0"/>
              <w:right w:val="single" w:color="auto" w:sz="4" w:space="0"/>
            </w:tcBorders>
            <w:tcW w:w="784" w:type="pct"/>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网络质量检测</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为检测设备之间的可达性、时延、丢包率、抖动等信息，设备需支持NQA检测网络质量；</w:t>
            </w:r>
            <w:r/>
          </w:p>
        </w:tc>
      </w:tr>
      <w:tr>
        <w:trPr>
          <w:trHeight w:val="584"/>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★SDN</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设备支持被南通市新一代电子政务网网络控制器纳管并下发配置。（</w:t>
            </w:r>
            <w:r>
              <w:rPr>
                <w:rFonts w:hint="eastAsia" w:ascii="仿宋" w:hAnsi="仿宋" w:eastAsia="仿宋"/>
                <w:b/>
                <w:bCs/>
                <w:color w:val="auto"/>
                <w:sz w:val="24"/>
                <w:szCs w:val="24"/>
                <w:highlight w:val="none"/>
              </w:rPr>
              <w:t xml:space="preserve">提供承诺函</w:t>
            </w:r>
            <w:r>
              <w:rPr>
                <w:rFonts w:hint="eastAsia" w:ascii="仿宋" w:hAnsi="仿宋" w:eastAsia="仿宋" w:cs="宋体"/>
                <w:color w:val="auto"/>
                <w:sz w:val="24"/>
                <w:szCs w:val="24"/>
                <w:highlight w:val="none"/>
              </w:rPr>
              <w:t xml:space="preserve">）；</w:t>
            </w:r>
            <w:r/>
          </w:p>
        </w:tc>
      </w:tr>
      <w:tr>
        <w:trPr>
          <w:trHeight w:val="550"/>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iCs/>
                <w:color w:val="auto"/>
                <w:sz w:val="24"/>
                <w:szCs w:val="24"/>
                <w:highlight w:val="none"/>
              </w:rPr>
              <w:t xml:space="preserve">质保年限</w:t>
            </w:r>
            <w:r/>
          </w:p>
        </w:tc>
        <w:tc>
          <w:tcPr>
            <w:tcBorders>
              <w:top w:val="single" w:color="auto" w:sz="4" w:space="0"/>
              <w:left w:val="single" w:color="auto" w:sz="4" w:space="0"/>
              <w:bottom w:val="single" w:color="auto" w:sz="4" w:space="0"/>
              <w:right w:val="single" w:color="auto" w:sz="4" w:space="0"/>
            </w:tcBorders>
            <w:tcW w:w="4216" w:type="pct"/>
            <w:vAlign w:val="center"/>
            <w:textDirection w:val="lrTb"/>
            <w:noWrap w:val="false"/>
          </w:tcPr>
          <w:p>
            <w:pP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提供</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年原厂质保。签订合同前提供原厂质保函原件。</w:t>
            </w:r>
            <w:r/>
          </w:p>
        </w:tc>
      </w:tr>
    </w:tbl>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910"/>
        <w:numPr>
          <w:ilvl w:val="0"/>
          <w:numId w:val="14"/>
        </w:numP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市民中心楼汇聚</w:t>
      </w:r>
      <w:r/>
    </w:p>
    <w:tbl>
      <w:tblPr>
        <w:tblStyle w:val="879"/>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8221"/>
      </w:tblGrid>
      <w:tr>
        <w:trPr>
          <w:trHeight w:val="482"/>
        </w:trPr>
        <w:tc>
          <w:tcPr>
            <w:shd w:val="clear" w:color="auto" w:fill="auto"/>
            <w:tcW w:w="1560" w:type="dxa"/>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W w:w="8221" w:type="dxa"/>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bookmarkStart w:id="191" w:name="OLE_LINK6"/>
            <w:r/>
            <w:bookmarkStart w:id="192" w:name="OLE_LINK7"/>
            <w:r>
              <w:rPr>
                <w:rFonts w:hint="eastAsia" w:ascii="仿宋" w:hAnsi="仿宋" w:eastAsia="仿宋" w:cs="宋体"/>
                <w:color w:val="auto"/>
                <w:sz w:val="24"/>
                <w:szCs w:val="24"/>
                <w:highlight w:val="none"/>
              </w:rPr>
              <w:t xml:space="preserve">★</w:t>
            </w:r>
            <w:bookmarkEnd w:id="191"/>
            <w:r/>
            <w:bookmarkEnd w:id="192"/>
            <w:r>
              <w:rPr>
                <w:rFonts w:hint="eastAsia" w:ascii="仿宋" w:hAnsi="仿宋" w:eastAsia="仿宋" w:cs="宋体"/>
                <w:color w:val="auto"/>
                <w:sz w:val="24"/>
                <w:szCs w:val="24"/>
                <w:highlight w:val="none"/>
              </w:rPr>
              <w:t xml:space="preserve">基础硬件</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满足自主可控要求，关键芯片国产化；</w:t>
            </w:r>
            <w:r>
              <w:rPr>
                <w:rFonts w:ascii="仿宋" w:hAnsi="仿宋" w:eastAsia="仿宋" w:cs="宋体"/>
                <w:color w:val="auto"/>
                <w:sz w:val="24"/>
                <w:szCs w:val="24"/>
                <w:highlight w:val="none"/>
              </w:rPr>
              <w:t xml:space="preserve">交换容量</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4.8Tbps</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包转发率</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2000Mpps</w:t>
            </w:r>
            <w:r>
              <w:rPr>
                <w:rFonts w:hint="eastAsia" w:ascii="仿宋" w:hAnsi="仿宋" w:eastAsia="仿宋" w:cs="宋体"/>
                <w:color w:val="auto"/>
                <w:sz w:val="24"/>
                <w:szCs w:val="24"/>
                <w:highlight w:val="none"/>
              </w:rPr>
              <w:t xml:space="preserve">，整机提供≥</w:t>
            </w:r>
            <w:r>
              <w:rPr>
                <w:rFonts w:ascii="仿宋" w:hAnsi="仿宋" w:eastAsia="仿宋" w:cs="宋体"/>
                <w:color w:val="auto"/>
                <w:sz w:val="24"/>
                <w:szCs w:val="24"/>
                <w:highlight w:val="none"/>
              </w:rPr>
              <w:t xml:space="preserve">48</w:t>
            </w:r>
            <w:r>
              <w:rPr>
                <w:rFonts w:hint="eastAsia" w:ascii="仿宋" w:hAnsi="仿宋" w:eastAsia="仿宋" w:cs="宋体"/>
                <w:color w:val="auto"/>
                <w:sz w:val="24"/>
                <w:szCs w:val="24"/>
                <w:highlight w:val="none"/>
              </w:rPr>
              <w:t xml:space="preserve">个万兆光口，</w:t>
            </w:r>
            <w:r>
              <w:rPr>
                <w:rFonts w:ascii="仿宋" w:hAnsi="仿宋" w:eastAsia="仿宋" w:cs="宋体"/>
                <w:color w:val="auto"/>
                <w:sz w:val="24"/>
                <w:szCs w:val="24"/>
                <w:highlight w:val="none"/>
              </w:rPr>
              <w:t xml:space="preserve">提供</w:t>
            </w:r>
            <w:r>
              <w:rPr>
                <w:rFonts w:hint="eastAsia" w:ascii="仿宋" w:hAnsi="仿宋" w:eastAsia="仿宋" w:cs="宋体"/>
                <w:color w:val="auto"/>
                <w:sz w:val="24"/>
                <w:szCs w:val="24"/>
                <w:highlight w:val="none"/>
              </w:rPr>
              <w:t xml:space="preserve">≥8个1</w:t>
            </w:r>
            <w:r>
              <w:rPr>
                <w:rFonts w:ascii="仿宋" w:hAnsi="仿宋" w:eastAsia="仿宋" w:cs="宋体"/>
                <w:color w:val="auto"/>
                <w:sz w:val="24"/>
                <w:szCs w:val="24"/>
                <w:highlight w:val="none"/>
              </w:rPr>
              <w:t xml:space="preserve">00G</w:t>
            </w:r>
            <w:r>
              <w:rPr>
                <w:rFonts w:hint="eastAsia" w:ascii="仿宋" w:hAnsi="仿宋" w:eastAsia="仿宋" w:cs="宋体"/>
                <w:color w:val="auto"/>
                <w:sz w:val="24"/>
                <w:szCs w:val="24"/>
                <w:highlight w:val="none"/>
              </w:rPr>
              <w:t xml:space="preserve">以太网光口；</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路由要</w:t>
            </w:r>
            <w:r>
              <w:rPr>
                <w:rFonts w:ascii="仿宋" w:hAnsi="仿宋" w:eastAsia="仿宋" w:cs="宋体"/>
                <w:color w:val="auto"/>
                <w:sz w:val="24"/>
                <w:szCs w:val="24"/>
                <w:highlight w:val="none"/>
              </w:rPr>
              <w:t xml:space="preserve">求</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支持静态路由RIP、RIPng、OSPF、BGP4、BGP4+forIPv6、IS-IS、等价路由，策略路由；</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CPU防护</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实现CPU保护功能，能限制非法报文对CPU的攻击，保护交换机在各种环境下稳定工作</w:t>
            </w:r>
            <w:r>
              <w:rPr>
                <w:rFonts w:hint="eastAsia" w:ascii="仿宋" w:hAnsi="仿宋" w:eastAsia="仿宋" w:cs="宋体"/>
                <w:color w:val="auto"/>
                <w:sz w:val="24"/>
                <w:szCs w:val="24"/>
                <w:highlight w:val="none"/>
              </w:rPr>
              <w:t xml:space="preserve">；</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虚拟化</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支持多虚一技术(N:1)，可将多台物理设备虚拟化为1台逻辑设备，（</w:t>
            </w:r>
            <w:r>
              <w:rPr>
                <w:rFonts w:hint="eastAsia" w:ascii="仿宋" w:hAnsi="仿宋" w:eastAsia="仿宋"/>
                <w:b/>
                <w:color w:val="auto"/>
                <w:sz w:val="24"/>
                <w:szCs w:val="24"/>
                <w:highlight w:val="none"/>
              </w:rPr>
              <w:t xml:space="preserve">要求提供官网截图证明</w:t>
            </w:r>
            <w:r>
              <w:rPr>
                <w:rFonts w:hint="eastAsia" w:ascii="仿宋" w:hAnsi="仿宋" w:eastAsia="仿宋" w:cs="宋体"/>
                <w:color w:val="auto"/>
                <w:sz w:val="24"/>
                <w:szCs w:val="24"/>
                <w:highlight w:val="none"/>
              </w:rPr>
              <w:t xml:space="preserve">）</w:t>
            </w:r>
            <w:r>
              <w:rPr>
                <w:rFonts w:hint="eastAsia" w:ascii="仿宋" w:hAnsi="仿宋" w:eastAsia="仿宋"/>
                <w:b/>
                <w:color w:val="auto"/>
                <w:sz w:val="24"/>
                <w:szCs w:val="24"/>
                <w:highlight w:val="none"/>
              </w:rPr>
              <w:t xml:space="preserve">；</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管理</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内置</w:t>
            </w:r>
            <w:r>
              <w:rPr>
                <w:rFonts w:ascii="仿宋" w:hAnsi="仿宋" w:eastAsia="仿宋" w:cs="宋体"/>
                <w:color w:val="auto"/>
                <w:sz w:val="24"/>
                <w:szCs w:val="24"/>
                <w:highlight w:val="none"/>
              </w:rPr>
              <w:t xml:space="preserve">智能管理平台</w:t>
            </w:r>
            <w:r>
              <w:rPr>
                <w:rFonts w:hint="eastAsia" w:ascii="仿宋" w:hAnsi="仿宋" w:eastAsia="仿宋" w:cs="宋体"/>
                <w:color w:val="auto"/>
                <w:sz w:val="24"/>
                <w:szCs w:val="24"/>
                <w:highlight w:val="none"/>
              </w:rPr>
              <w:t xml:space="preserve">，组网拓扑可视及管理、设备列表可视，以图形化操作的方式，实现对网络的统一运维及管理；</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数据中心特性</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支持支持PFC、ECN；（</w:t>
            </w:r>
            <w:r>
              <w:rPr>
                <w:rFonts w:hint="eastAsia" w:ascii="仿宋" w:hAnsi="仿宋" w:eastAsia="仿宋"/>
                <w:b/>
                <w:color w:val="auto"/>
                <w:sz w:val="24"/>
                <w:szCs w:val="24"/>
                <w:highlight w:val="none"/>
              </w:rPr>
              <w:t xml:space="preserve">要求提供官网截图证明</w:t>
            </w:r>
            <w:r>
              <w:rPr>
                <w:rFonts w:hint="eastAsia" w:ascii="仿宋" w:hAnsi="仿宋" w:eastAsia="仿宋" w:cs="宋体"/>
                <w:color w:val="auto"/>
                <w:sz w:val="24"/>
                <w:szCs w:val="24"/>
                <w:highlight w:val="none"/>
              </w:rPr>
              <w:t xml:space="preserve">）</w:t>
            </w:r>
            <w:r>
              <w:rPr>
                <w:rFonts w:hint="eastAsia" w:ascii="仿宋" w:hAnsi="仿宋" w:eastAsia="仿宋"/>
                <w:b/>
                <w:color w:val="auto"/>
                <w:sz w:val="24"/>
                <w:szCs w:val="24"/>
                <w:highlight w:val="none"/>
              </w:rPr>
              <w:t xml:space="preserve">；</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环网</w:t>
            </w:r>
            <w:r>
              <w:rPr>
                <w:rFonts w:ascii="仿宋" w:hAnsi="仿宋" w:eastAsia="仿宋" w:cs="宋体"/>
                <w:color w:val="auto"/>
                <w:sz w:val="24"/>
                <w:szCs w:val="24"/>
                <w:highlight w:val="none"/>
              </w:rPr>
              <w:t xml:space="preserve">协议</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支持ERPS功能，能够快速阻断环路；支持</w:t>
            </w:r>
            <w:r>
              <w:rPr>
                <w:rFonts w:ascii="仿宋" w:hAnsi="仿宋" w:eastAsia="仿宋" w:cs="宋体"/>
                <w:color w:val="auto"/>
                <w:sz w:val="24"/>
                <w:szCs w:val="24"/>
                <w:highlight w:val="none"/>
              </w:rPr>
              <w:t xml:space="preserve">STP</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RSTP</w:t>
            </w:r>
            <w:r>
              <w:rPr>
                <w:rFonts w:hint="eastAsia" w:ascii="仿宋" w:hAnsi="仿宋" w:eastAsia="仿宋" w:cs="宋体"/>
                <w:color w:val="auto"/>
                <w:sz w:val="24"/>
                <w:szCs w:val="24"/>
                <w:highlight w:val="none"/>
              </w:rPr>
              <w:t xml:space="preserve">、MSTP，环网故障恢复时间短；</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★配置要求</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配置≥2个电源模块，≥5个散热风扇</w:t>
            </w:r>
            <w:r>
              <w:rPr>
                <w:rFonts w:ascii="仿宋" w:hAnsi="仿宋" w:eastAsia="仿宋" w:cs="宋体"/>
                <w:color w:val="auto"/>
                <w:sz w:val="24"/>
                <w:szCs w:val="24"/>
                <w:highlight w:val="none"/>
              </w:rPr>
              <w:t xml:space="preserve">；</w:t>
            </w:r>
            <w:r/>
          </w:p>
        </w:tc>
      </w:tr>
    </w:tbl>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910"/>
        <w:numPr>
          <w:ilvl w:val="0"/>
          <w:numId w:val="14"/>
        </w:numP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行政中心1号楼汇聚</w:t>
      </w:r>
      <w:r/>
    </w:p>
    <w:tbl>
      <w:tblPr>
        <w:tblStyle w:val="879"/>
        <w:tblW w:w="5981" w:type="pct"/>
        <w:tblInd w:w="-431" w:type="dxa"/>
        <w:tblLayout w:type="autofit"/>
        <w:tblCellMar>
          <w:left w:w="108" w:type="dxa"/>
          <w:top w:w="0" w:type="dxa"/>
          <w:right w:w="108" w:type="dxa"/>
          <w:bottom w:w="0" w:type="dxa"/>
        </w:tblCellMar>
        <w:tblLook w:val="04A0" w:firstRow="1" w:lastRow="0" w:firstColumn="1" w:lastColumn="0" w:noHBand="0" w:noVBand="1"/>
      </w:tblPr>
      <w:tblGrid>
        <w:gridCol w:w="1602"/>
        <w:gridCol w:w="8592"/>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214"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540"/>
        </w:trPr>
        <w:tc>
          <w:tcPr>
            <w:shd w:val="clear" w:color="000000" w:fill="ffffff"/>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★基础硬件</w:t>
            </w:r>
            <w:r/>
          </w:p>
        </w:tc>
        <w:tc>
          <w:tcPr>
            <w:shd w:val="clear" w:color="000000" w:fill="ffffff"/>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满足自主可控要求，关键芯片国产化；支持独立主控引擎插槽≥2个，独立业务板插槽≥</w:t>
            </w:r>
            <w:r>
              <w:rPr>
                <w:rFonts w:ascii="仿宋" w:hAnsi="仿宋" w:eastAsia="仿宋" w:cs="宋体"/>
                <w:color w:val="auto"/>
                <w:sz w:val="24"/>
                <w:szCs w:val="24"/>
                <w:highlight w:val="none"/>
              </w:rPr>
              <w:t xml:space="preserve">3</w:t>
            </w:r>
            <w:r>
              <w:rPr>
                <w:rFonts w:hint="eastAsia" w:ascii="仿宋" w:hAnsi="仿宋" w:eastAsia="仿宋" w:cs="宋体"/>
                <w:color w:val="auto"/>
                <w:sz w:val="24"/>
                <w:szCs w:val="24"/>
                <w:highlight w:val="none"/>
              </w:rPr>
              <w:t xml:space="preserve">个；交换容量≥</w:t>
            </w:r>
            <w:r>
              <w:rPr>
                <w:rFonts w:ascii="仿宋" w:hAnsi="仿宋" w:eastAsia="仿宋" w:cs="宋体"/>
                <w:color w:val="auto"/>
                <w:sz w:val="24"/>
                <w:szCs w:val="24"/>
                <w:highlight w:val="none"/>
              </w:rPr>
              <w:t xml:space="preserve">68Tbps</w:t>
            </w:r>
            <w:r>
              <w:rPr>
                <w:rFonts w:hint="eastAsia" w:ascii="仿宋" w:hAnsi="仿宋" w:eastAsia="仿宋" w:cs="宋体"/>
                <w:color w:val="auto"/>
                <w:sz w:val="24"/>
                <w:szCs w:val="24"/>
                <w:highlight w:val="none"/>
              </w:rPr>
              <w:t xml:space="preserve">，包转发率≥</w:t>
            </w:r>
            <w:r>
              <w:rPr>
                <w:rFonts w:ascii="仿宋" w:hAnsi="仿宋" w:eastAsia="仿宋" w:cs="宋体"/>
                <w:color w:val="auto"/>
                <w:sz w:val="24"/>
                <w:szCs w:val="24"/>
                <w:highlight w:val="none"/>
              </w:rPr>
              <w:t xml:space="preserve">51000Mpps</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路由性能</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支持IPv4/IPv6静态路由、RIP、OSPF、IS-IS、BGP、等价路由、策略路由；</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安全</w:t>
            </w:r>
            <w:r/>
          </w:p>
        </w:tc>
        <w:tc>
          <w:tcPr>
            <w:shd w:val="clear" w:color="auto" w:fill="auto"/>
            <w:tcBorders>
              <w:top w:val="single" w:color="auto" w:sz="4" w:space="0"/>
              <w:left w:val="none" w:color="000000" w:sz="4" w:space="0"/>
              <w:bottom w:val="single" w:color="auto" w:sz="4" w:space="0"/>
              <w:right w:val="single" w:color="auto" w:sz="4" w:space="0"/>
            </w:tcBorders>
            <w:tcW w:w="4214" w:type="pct"/>
            <w:vAlign w:val="center"/>
            <w:textDirection w:val="lrTb"/>
            <w:noWrap w:val="false"/>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支持防火墙独立插卡，支持系统通过对代码的数字签名来标识软件来源，通过两层签名机制防止软件被篡改；</w:t>
            </w:r>
            <w:r>
              <w:rPr>
                <w:rFonts w:hint="eastAsia" w:ascii="仿宋" w:hAnsi="仿宋" w:eastAsia="仿宋"/>
                <w:b/>
                <w:color w:val="auto"/>
                <w:sz w:val="24"/>
                <w:szCs w:val="24"/>
                <w:highlight w:val="none"/>
              </w:rPr>
              <w:t xml:space="preserve">（提供第三方检测报告证明）</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786" w:type="pct"/>
            <w:vAlign w:val="center"/>
            <w:vMerge w:val="restart"/>
            <w:textDirection w:val="lrTb"/>
            <w:noWrap w:val="false"/>
          </w:tcPr>
          <w:p>
            <w:pPr>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虚拟化</w:t>
            </w:r>
            <w:r/>
          </w:p>
        </w:tc>
        <w:tc>
          <w:tcPr>
            <w:shd w:val="clear" w:color="auto" w:fill="auto"/>
            <w:tcBorders>
              <w:top w:val="single" w:color="auto"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支持多虚一技术(N:1)，可将4台物理设备虚拟化为1台逻辑设备，支持一虚多技术（1:N），可将1台物理设备虚拟化为16台逻辑设备</w:t>
            </w:r>
            <w:r/>
          </w:p>
        </w:tc>
      </w:tr>
      <w:tr>
        <w:trPr>
          <w:trHeight w:val="280"/>
        </w:trPr>
        <w:tc>
          <w:tcPr>
            <w:tcBorders>
              <w:top w:val="single" w:color="auto" w:sz="4" w:space="0"/>
              <w:left w:val="single" w:color="auto" w:sz="4" w:space="0"/>
              <w:bottom w:val="single" w:color="000000" w:sz="4" w:space="0"/>
              <w:right w:val="single" w:color="auto" w:sz="4" w:space="0"/>
            </w:tcBorders>
            <w:tcW w:w="786" w:type="pct"/>
            <w:vAlign w:val="center"/>
            <w:vMerge w:val="continue"/>
            <w:textDirection w:val="lrTb"/>
            <w:noWrap w:val="false"/>
          </w:tcPr>
          <w:p>
            <w:pPr>
              <w:jc w:val="left"/>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支持设备先“多虚一”再“一虚多”的功能联动，彻底实现资源池化；</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可视化</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支持Telemetry流量可视化功能</w:t>
            </w: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管理</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支持内置智能图形化管理平台，支持对下联设备统一管理，并可通过图形化界面创建配置组，实现配置文件一键下发、拓扑内设备批量版本升级、配置命令一键下发</w:t>
            </w:r>
            <w:r>
              <w:rPr>
                <w:rFonts w:hint="eastAsia" w:ascii="仿宋" w:hAnsi="仿宋" w:eastAsia="仿宋"/>
                <w:color w:val="auto"/>
                <w:sz w:val="24"/>
                <w:szCs w:val="24"/>
                <w:highlight w:val="none"/>
              </w:rPr>
              <w:t xml:space="preserve">；</w:t>
            </w:r>
            <w:r>
              <w:rPr>
                <w:rFonts w:hint="eastAsia" w:ascii="仿宋" w:hAnsi="仿宋" w:eastAsia="仿宋"/>
                <w:b/>
                <w:color w:val="auto"/>
                <w:sz w:val="24"/>
                <w:szCs w:val="24"/>
                <w:highlight w:val="none"/>
              </w:rPr>
              <w:t xml:space="preserve">（提供第三方检测报告证明）；</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环网协议</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支持ERPS功能，能够快速阻断环路；支持STP、RSTP、MSTP，环网故障恢复时间短；</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vMerge w:val="restart"/>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访问控制策略</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支持基于第二层、第三层和第四层的ACL；</w:t>
            </w:r>
            <w:r/>
          </w:p>
        </w:tc>
      </w:tr>
      <w:tr>
        <w:trPr>
          <w:trHeight w:val="280"/>
        </w:trPr>
        <w:tc>
          <w:tcPr>
            <w:tcBorders>
              <w:top w:val="none" w:color="000000" w:sz="4" w:space="0"/>
              <w:left w:val="single" w:color="auto" w:sz="4" w:space="0"/>
              <w:bottom w:val="single" w:color="auto" w:sz="4" w:space="0"/>
              <w:right w:val="single" w:color="auto" w:sz="4" w:space="0"/>
            </w:tcBorders>
            <w:tcW w:w="786" w:type="pct"/>
            <w:vAlign w:val="center"/>
            <w:vMerge w:val="continue"/>
            <w:textDirection w:val="lrTb"/>
            <w:noWrap w:val="false"/>
          </w:tcPr>
          <w:p>
            <w:pPr>
              <w:jc w:val="left"/>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支持MAC认证、802.1x认证、portal认证；</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预配置及回滚</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支持命令行预配置和配置回滚功能，通过配置命令行，配置命令行成单条或多条的配置回退点，可灵活执行多次，实现命令行预配置、配置回滚点保存和配置回滚的功能；</w:t>
            </w:r>
            <w:r>
              <w:rPr>
                <w:rFonts w:ascii="仿宋" w:hAnsi="仿宋" w:eastAsia="仿宋" w:cs="宋体"/>
                <w:color w:val="auto"/>
                <w:sz w:val="24"/>
                <w:szCs w:val="24"/>
                <w:highlight w:val="none"/>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T</w:t>
            </w:r>
            <w:r>
              <w:rPr>
                <w:rFonts w:ascii="仿宋" w:hAnsi="仿宋" w:eastAsia="仿宋" w:cs="宋体"/>
                <w:color w:val="auto"/>
                <w:sz w:val="24"/>
                <w:szCs w:val="24"/>
                <w:highlight w:val="none"/>
              </w:rPr>
              <w:t xml:space="preserve">AP功能</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TAP支持基于端口的 M:N 模型功能，支持基于普通IPv4、I</w:t>
            </w:r>
            <w:r>
              <w:rPr>
                <w:rFonts w:ascii="仿宋" w:hAnsi="仿宋" w:eastAsia="仿宋" w:cs="宋体"/>
                <w:color w:val="auto"/>
                <w:sz w:val="24"/>
                <w:szCs w:val="24"/>
                <w:highlight w:val="none"/>
              </w:rPr>
              <w:t xml:space="preserve">PV6</w:t>
            </w:r>
            <w:r>
              <w:rPr>
                <w:rFonts w:hint="eastAsia" w:ascii="仿宋" w:hAnsi="仿宋" w:eastAsia="仿宋" w:cs="宋体"/>
                <w:color w:val="auto"/>
                <w:sz w:val="24"/>
                <w:szCs w:val="24"/>
                <w:highlight w:val="none"/>
              </w:rPr>
              <w:t xml:space="preserve">报文五元组流分类功能；</w:t>
            </w:r>
            <w:r>
              <w:rPr>
                <w:rFonts w:hint="eastAsia" w:ascii="仿宋" w:hAnsi="仿宋" w:eastAsia="仿宋"/>
                <w:b/>
                <w:color w:val="auto"/>
                <w:sz w:val="24"/>
                <w:szCs w:val="24"/>
                <w:highlight w:val="none"/>
              </w:rPr>
              <w:t xml:space="preserve">（提供第三方检测报告证明）</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VXLAN</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支持VXLAN网关功能，能够实现VXLAN二三层互通；</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8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★配置要求</w:t>
            </w:r>
            <w:r/>
          </w:p>
        </w:tc>
        <w:tc>
          <w:tcPr>
            <w:shd w:val="clear" w:color="auto" w:fill="auto"/>
            <w:tcBorders>
              <w:top w:val="none" w:color="000000" w:sz="4" w:space="0"/>
              <w:left w:val="none" w:color="000000" w:sz="4" w:space="0"/>
              <w:bottom w:val="single" w:color="auto" w:sz="4" w:space="0"/>
              <w:right w:val="single" w:color="auto" w:sz="4" w:space="0"/>
            </w:tcBorders>
            <w:tcW w:w="4214"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单台配置双主控、双电源，整机≥4</w:t>
            </w:r>
            <w:r>
              <w:rPr>
                <w:rFonts w:ascii="仿宋" w:hAnsi="仿宋" w:eastAsia="仿宋" w:cs="宋体"/>
                <w:color w:val="auto"/>
                <w:sz w:val="24"/>
                <w:szCs w:val="24"/>
                <w:highlight w:val="none"/>
              </w:rPr>
              <w:t xml:space="preserve">8</w:t>
            </w:r>
            <w:r>
              <w:rPr>
                <w:rFonts w:hint="eastAsia" w:ascii="仿宋" w:hAnsi="仿宋" w:eastAsia="仿宋" w:cs="宋体"/>
                <w:color w:val="auto"/>
                <w:sz w:val="24"/>
                <w:szCs w:val="24"/>
                <w:highlight w:val="none"/>
              </w:rPr>
              <w:t xml:space="preserve">端口万兆以太网光接口；</w:t>
            </w:r>
            <w:r/>
          </w:p>
        </w:tc>
      </w:tr>
    </w:tbl>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910"/>
        <w:numPr>
          <w:ilvl w:val="0"/>
          <w:numId w:val="14"/>
        </w:numP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接入交换机</w:t>
      </w:r>
      <w:r/>
    </w:p>
    <w:tbl>
      <w:tblPr>
        <w:tblStyle w:val="879"/>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8221"/>
      </w:tblGrid>
      <w:tr>
        <w:trPr>
          <w:trHeight w:val="482"/>
        </w:trPr>
        <w:tc>
          <w:tcPr>
            <w:shd w:val="clear" w:color="auto" w:fill="auto"/>
            <w:tcW w:w="1560" w:type="dxa"/>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W w:w="8221" w:type="dxa"/>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★基础硬件</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满足自主可控要求，关键芯片国产化；</w:t>
            </w:r>
            <w:r>
              <w:rPr>
                <w:rFonts w:ascii="仿宋" w:hAnsi="仿宋" w:eastAsia="仿宋" w:cs="宋体"/>
                <w:color w:val="auto"/>
                <w:sz w:val="24"/>
                <w:szCs w:val="24"/>
                <w:highlight w:val="none"/>
              </w:rPr>
              <w:t xml:space="preserve">交换容量</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670Gbps</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包转发率</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207Mpps</w:t>
            </w:r>
            <w:r>
              <w:rPr>
                <w:rFonts w:hint="eastAsia" w:ascii="仿宋" w:hAnsi="仿宋" w:eastAsia="仿宋" w:cs="宋体"/>
                <w:color w:val="auto"/>
                <w:sz w:val="24"/>
                <w:szCs w:val="24"/>
                <w:highlight w:val="none"/>
              </w:rPr>
              <w:t xml:space="preserve">，整机提供≥</w:t>
            </w:r>
            <w:r>
              <w:rPr>
                <w:rFonts w:ascii="仿宋" w:hAnsi="仿宋" w:eastAsia="仿宋" w:cs="宋体"/>
                <w:color w:val="auto"/>
                <w:sz w:val="24"/>
                <w:szCs w:val="24"/>
                <w:highlight w:val="none"/>
              </w:rPr>
              <w:t xml:space="preserve">48</w:t>
            </w:r>
            <w:r>
              <w:rPr>
                <w:rFonts w:hint="eastAsia" w:ascii="仿宋" w:hAnsi="仿宋" w:eastAsia="仿宋" w:cs="宋体"/>
                <w:color w:val="auto"/>
                <w:sz w:val="24"/>
                <w:szCs w:val="24"/>
                <w:highlight w:val="none"/>
              </w:rPr>
              <w:t xml:space="preserve">个千兆电口，</w:t>
            </w:r>
            <w:r>
              <w:rPr>
                <w:rFonts w:ascii="仿宋" w:hAnsi="仿宋" w:eastAsia="仿宋" w:cs="宋体"/>
                <w:color w:val="auto"/>
                <w:sz w:val="24"/>
                <w:szCs w:val="24"/>
                <w:highlight w:val="none"/>
              </w:rPr>
              <w:t xml:space="preserve">提供</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6</w:t>
            </w:r>
            <w:r>
              <w:rPr>
                <w:rFonts w:hint="eastAsia" w:ascii="仿宋" w:hAnsi="仿宋" w:eastAsia="仿宋" w:cs="宋体"/>
                <w:color w:val="auto"/>
                <w:sz w:val="24"/>
                <w:szCs w:val="24"/>
                <w:highlight w:val="none"/>
              </w:rPr>
              <w:t xml:space="preserve">个万兆以太网光口；所有端口均为业务端口。</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路由要</w:t>
            </w:r>
            <w:r>
              <w:rPr>
                <w:rFonts w:ascii="仿宋" w:hAnsi="仿宋" w:eastAsia="仿宋" w:cs="宋体"/>
                <w:color w:val="auto"/>
                <w:sz w:val="24"/>
                <w:szCs w:val="24"/>
                <w:highlight w:val="none"/>
              </w:rPr>
              <w:t xml:space="preserve">求</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支持IPv4/IPv6静态路由，支持RIP/RIPng，OSPF</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CPU防护</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实现CPU保护功能，能限制非法报文对CPU的攻击，保护交换机在各种环境下稳定工作</w:t>
            </w:r>
            <w:r>
              <w:rPr>
                <w:rFonts w:hint="eastAsia" w:ascii="仿宋" w:hAnsi="仿宋" w:eastAsia="仿宋" w:cs="宋体"/>
                <w:color w:val="auto"/>
                <w:sz w:val="24"/>
                <w:szCs w:val="24"/>
                <w:highlight w:val="none"/>
              </w:rPr>
              <w:t xml:space="preserve">；</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虚拟化</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支持多虚一技术(N:1)，可将多台物理设备虚拟化为1台逻辑设备</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可</w:t>
            </w:r>
            <w:r>
              <w:rPr>
                <w:rFonts w:ascii="仿宋" w:hAnsi="仿宋" w:eastAsia="仿宋" w:cs="宋体"/>
                <w:color w:val="auto"/>
                <w:sz w:val="24"/>
                <w:szCs w:val="24"/>
                <w:highlight w:val="none"/>
              </w:rPr>
              <w:t xml:space="preserve">视化</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支持Telemetry技术；</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环网</w:t>
            </w:r>
            <w:r>
              <w:rPr>
                <w:rFonts w:ascii="仿宋" w:hAnsi="仿宋" w:eastAsia="仿宋" w:cs="宋体"/>
                <w:color w:val="auto"/>
                <w:sz w:val="24"/>
                <w:szCs w:val="24"/>
                <w:highlight w:val="none"/>
              </w:rPr>
              <w:t xml:space="preserve">协议</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支持ERPS功能，能够快速阻断环路；支持</w:t>
            </w:r>
            <w:r>
              <w:rPr>
                <w:rFonts w:ascii="仿宋" w:hAnsi="仿宋" w:eastAsia="仿宋" w:cs="宋体"/>
                <w:color w:val="auto"/>
                <w:sz w:val="24"/>
                <w:szCs w:val="24"/>
                <w:highlight w:val="none"/>
              </w:rPr>
              <w:t xml:space="preserve">STP</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RSTP</w:t>
            </w:r>
            <w:r>
              <w:rPr>
                <w:rFonts w:hint="eastAsia" w:ascii="仿宋" w:hAnsi="仿宋" w:eastAsia="仿宋" w:cs="宋体"/>
                <w:color w:val="auto"/>
                <w:sz w:val="24"/>
                <w:szCs w:val="24"/>
                <w:highlight w:val="none"/>
              </w:rPr>
              <w:t xml:space="preserve">、MSTP，环网故障恢复时间短；</w:t>
            </w:r>
            <w:r/>
          </w:p>
        </w:tc>
      </w:tr>
      <w:tr>
        <w:trPr>
          <w:trHeight w:val="454"/>
        </w:trPr>
        <w:tc>
          <w:tcPr>
            <w:shd w:val="clear" w:color="auto" w:fill="auto"/>
            <w:tcW w:w="1560" w:type="dxa"/>
            <w:vAlign w:val="center"/>
            <w:vMerge w:val="restart"/>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访问控制策略</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支持基于第二层、第三层和第四层的ACL；</w:t>
            </w:r>
            <w:r/>
          </w:p>
        </w:tc>
      </w:tr>
      <w:tr>
        <w:trPr>
          <w:trHeight w:val="454"/>
        </w:trPr>
        <w:tc>
          <w:tcPr>
            <w:shd w:val="clear" w:color="auto" w:fill="auto"/>
            <w:tcW w:w="1560" w:type="dxa"/>
            <w:vAlign w:val="center"/>
            <w:vMerge w:val="continue"/>
            <w:textDirection w:val="lrTb"/>
            <w:noWrap w:val="false"/>
          </w:tcPr>
          <w:p>
            <w:pPr>
              <w:jc w:val="left"/>
              <w:spacing w:line="276" w:lineRule="auto"/>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支持802.1x认证，支持集中式MAC地址认证；</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防雷</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端口防雷≥10KV；</w:t>
            </w:r>
            <w:r/>
          </w:p>
        </w:tc>
      </w:tr>
      <w:tr>
        <w:trPr>
          <w:trHeight w:val="454"/>
        </w:trPr>
        <w:tc>
          <w:tcPr>
            <w:shd w:val="clear" w:color="auto" w:fill="auto"/>
            <w:tcW w:w="1560" w:type="dxa"/>
            <w:vAlign w:val="center"/>
            <w:textDirection w:val="lrTb"/>
            <w:noWrap w:val="false"/>
          </w:tcPr>
          <w:p>
            <w:pPr>
              <w:jc w:val="left"/>
              <w:spacing w:line="276" w:lineRule="auto"/>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SDN/OPENFLOW</w:t>
            </w:r>
            <w:r/>
          </w:p>
        </w:tc>
        <w:tc>
          <w:tcPr>
            <w:shd w:val="clear" w:color="auto" w:fill="auto"/>
            <w:tcW w:w="8221" w:type="dxa"/>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支持OPENFLOW 1.3标准，支持普通模式和Openflow 模式切换</w:t>
            </w:r>
            <w:r/>
          </w:p>
        </w:tc>
      </w:tr>
    </w:tbl>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910"/>
        <w:numPr>
          <w:ilvl w:val="0"/>
          <w:numId w:val="14"/>
        </w:numPr>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光闸</w:t>
      </w:r>
      <w:r/>
    </w:p>
    <w:tbl>
      <w:tblPr>
        <w:tblStyle w:val="879"/>
        <w:tblW w:w="9788" w:type="dxa"/>
        <w:tblInd w:w="-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7946"/>
      </w:tblGrid>
      <w:tr>
        <w:trPr>
          <w:trHeight w:val="480"/>
        </w:trPr>
        <w:tc>
          <w:tcPr>
            <w:tcW w:w="1842" w:type="dxa"/>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指标项</w:t>
            </w:r>
            <w:r/>
          </w:p>
        </w:tc>
        <w:tc>
          <w:tcPr>
            <w:tcW w:w="7946" w:type="dxa"/>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规格要求</w:t>
            </w:r>
            <w:r/>
          </w:p>
        </w:tc>
      </w:tr>
      <w:tr>
        <w:trPr>
          <w:trHeight w:val="304"/>
        </w:trPr>
        <w:tc>
          <w:tcPr>
            <w:tcW w:w="1842"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硬件规格</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★标准2U机架设备，产品软硬件必须满足国产化要求，内存不低于32G，系统盘不低于128G SSD。设备提供HA工作状态监控灯和液晶屏，</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★内网接口：标配千兆电口≧6个，千兆光口≧4个，万兆光口≧4个，</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★外网接口：标配千兆电口≧6个，千兆光口≧4个，万兆光口≧4个。</w:t>
            </w:r>
            <w:r/>
          </w:p>
        </w:tc>
      </w:tr>
      <w:tr>
        <w:trPr>
          <w:trHeight w:val="323"/>
        </w:trPr>
        <w:tc>
          <w:tcPr>
            <w:tcW w:w="1842"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性能要求</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★网络吞吐不低于15Gbps，并发连接数不低于100万，延时＜1ms。</w:t>
            </w:r>
            <w:r/>
          </w:p>
        </w:tc>
      </w:tr>
      <w:tr>
        <w:trPr>
          <w:trHeight w:val="720"/>
        </w:trPr>
        <w:tc>
          <w:tcPr>
            <w:tcW w:w="1842"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系统架构</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采用“2+1”系统架构，即由两个主机系统和一个隔离交换专用硬件组成；隔离交换矩阵基于专用芯片实现，保证数据在搬移的时间内，内、外网隔离卡与内、外网系统为断开状态。</w:t>
            </w:r>
            <w:r/>
          </w:p>
        </w:tc>
      </w:tr>
      <w:tr>
        <w:trPr>
          <w:trHeight w:val="720"/>
        </w:trPr>
        <w:tc>
          <w:tcPr>
            <w:tcW w:w="1842"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系统要求</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内外网主机系统分别支持双系统引导，并可在WEB界面上直接配置启动顺序，在A系统发生故障时，可以切换到B系统；且支持系统(包括配置)备份</w:t>
            </w:r>
            <w:r>
              <w:rPr>
                <w:rFonts w:hint="eastAsia" w:ascii="仿宋" w:hAnsi="仿宋" w:eastAsia="仿宋" w:cs="宋体"/>
                <w:b/>
                <w:bCs/>
                <w:color w:val="auto"/>
                <w:sz w:val="24"/>
                <w:szCs w:val="24"/>
                <w:highlight w:val="none"/>
              </w:rPr>
              <w:t xml:space="preserve">（提供产品功能界面截图证明）</w:t>
            </w:r>
            <w:r/>
          </w:p>
        </w:tc>
      </w:tr>
      <w:tr>
        <w:trPr>
          <w:trHeight w:val="343"/>
        </w:trPr>
        <w:tc>
          <w:tcPr>
            <w:tcW w:w="1842"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网络与接口</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支持接口冗余模式设置包括：轮询、热备、802.3ad模式</w:t>
            </w:r>
            <w:r/>
          </w:p>
        </w:tc>
      </w:tr>
      <w:tr>
        <w:trPr>
          <w:trHeight w:val="310"/>
        </w:trPr>
        <w:tc>
          <w:tcPr>
            <w:tcW w:w="1842" w:type="dxa"/>
            <w:vAlign w:val="top"/>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文件交换</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文件同步客户端支持Windows、Linux等主流操作系统，均具备图形化管理界面；</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支持文件传输方向可控，实现单向或双向传输； </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支持病毒检测；支持按任务进行内容过滤； </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文件传输支持身份认证及加密传输；</w:t>
            </w:r>
            <w:r/>
          </w:p>
        </w:tc>
      </w:tr>
      <w:tr>
        <w:trPr>
          <w:trHeight w:val="48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支持断点续传；支持增量传输、发送后删除、发送后转移、改名传输等发送策略； </w:t>
            </w:r>
            <w:r/>
          </w:p>
        </w:tc>
      </w:tr>
      <w:tr>
        <w:trPr>
          <w:trHeight w:val="48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支持文件传输长度校验，并支持校验失败自动重传； </w:t>
            </w:r>
            <w:r/>
          </w:p>
        </w:tc>
      </w:tr>
      <w:tr>
        <w:trPr>
          <w:trHeight w:val="48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支持文件格式特征过滤；并能提供具备图形化界面的文件类型判断工具以帮助用户识别不常见文件类型</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支持时间策略；支持文件大小传输限制；</w:t>
            </w:r>
            <w:r/>
          </w:p>
        </w:tc>
      </w:tr>
      <w:tr>
        <w:trPr>
          <w:trHeight w:val="48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重名策略，接收端客户端支持对重名文件的控制策略，提供“覆盖”、“丢弃”、“重命名”等重名策略</w:t>
            </w:r>
            <w:r/>
          </w:p>
        </w:tc>
      </w:tr>
      <w:tr>
        <w:trPr>
          <w:trHeight w:val="314"/>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Borders>
              <w:bottom w:val="single" w:color="auto" w:sz="4" w:space="0"/>
            </w:tcBorders>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可根据异常条件进行报警，如内存占用过高等条件</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支持同种数据库间（同构）和不同种数据库间（异构）的同步；</w:t>
            </w:r>
            <w:r/>
          </w:p>
        </w:tc>
      </w:tr>
      <w:tr>
        <w:trPr>
          <w:trHeight w:val="339"/>
        </w:trPr>
        <w:tc>
          <w:tcPr>
            <w:tcW w:w="1842" w:type="dxa"/>
            <w:vAlign w:val="top"/>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数据库传输</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实现对多种（如MySql、SqlServer、Oracle、DB2、Sybase）等主流数据库系统的安全访问；</w:t>
            </w:r>
            <w:r/>
          </w:p>
        </w:tc>
      </w:tr>
      <w:tr>
        <w:trPr>
          <w:trHeight w:val="314"/>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支持oracle数据库集群访问，同时支持VIP和SCANIP两种模式</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提供数据库访问用户的过滤和控制；</w:t>
            </w:r>
            <w:r/>
          </w:p>
        </w:tc>
      </w:tr>
      <w:tr>
        <w:trPr>
          <w:trHeight w:val="9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支持数据库SQL语句过滤功能</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提供任务单独启停控制；</w:t>
            </w:r>
            <w:r/>
          </w:p>
        </w:tc>
      </w:tr>
      <w:tr>
        <w:trPr>
          <w:trHeight w:val="345"/>
        </w:trPr>
        <w:tc>
          <w:tcPr>
            <w:tcW w:w="1842" w:type="dxa"/>
            <w:vAlign w:val="top"/>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FTP访问</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实现安全的FTP访问，支持对访问用户、访问协议命令、上传下载文件类型等访问过滤控制；</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支持访问用户的黑白名单过滤； </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支持FTP协议命令的黑白名单控制；</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支持上传/下载文件类型的黑白名单控制；</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支持病毒检测功能；</w:t>
            </w:r>
            <w:r/>
          </w:p>
        </w:tc>
      </w:tr>
      <w:tr>
        <w:trPr>
          <w:trHeight w:val="343"/>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支持基于任务级的内容过滤策略，允许不同访问任务采用不同的内容控制策略；</w:t>
            </w:r>
            <w:r/>
          </w:p>
        </w:tc>
      </w:tr>
      <w:tr>
        <w:trPr>
          <w:trHeight w:val="294"/>
        </w:trPr>
        <w:tc>
          <w:tcPr>
            <w:tcW w:w="1842" w:type="dxa"/>
            <w:vAlign w:val="top"/>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安全传输</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支持多种安全访问方式，比如普通访问模式、透明访问模式等访问模式；</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支持HTTP/HTTPS/FTP/SMTP/POP3等应用协议;</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支持时间策略访问控制。</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支持SYN、UDP FLOOD阈值设置</w:t>
            </w:r>
            <w:r/>
          </w:p>
        </w:tc>
      </w:tr>
      <w:tr>
        <w:trPr>
          <w:trHeight w:val="178"/>
        </w:trPr>
        <w:tc>
          <w:tcPr>
            <w:tcW w:w="1842" w:type="dxa"/>
            <w:vAlign w:val="top"/>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视频传输模块</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支持SIP、GB35114、GB/T 28181、DB33、H.323、ONVIF、RTSP、国电B类接口等通用协议；</w:t>
            </w:r>
            <w:r>
              <w:rPr>
                <w:rFonts w:hint="eastAsia" w:ascii="仿宋" w:hAnsi="仿宋" w:eastAsia="仿宋" w:cs="宋体"/>
                <w:b/>
                <w:bCs/>
                <w:color w:val="auto"/>
                <w:sz w:val="24"/>
                <w:szCs w:val="24"/>
                <w:highlight w:val="none"/>
              </w:rPr>
              <w:t xml:space="preserve">（提供产品功能界面截图证明）</w:t>
            </w:r>
            <w:r/>
          </w:p>
        </w:tc>
      </w:tr>
      <w:tr>
        <w:trPr>
          <w:trHeight w:val="178"/>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支持多个视频厂商(海康、大华、科达、中兴、迪威、东方网力等协议 </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支持视频功能类型过滤，包括实时点播、历史回放、录像下载、云台控制、回放控制、录像检索、设备查询等</w:t>
            </w:r>
            <w:r>
              <w:rPr>
                <w:rFonts w:hint="eastAsia" w:ascii="仿宋" w:hAnsi="仿宋" w:eastAsia="仿宋" w:cs="宋体"/>
                <w:b/>
                <w:bCs/>
                <w:color w:val="auto"/>
                <w:sz w:val="24"/>
                <w:szCs w:val="24"/>
                <w:highlight w:val="none"/>
              </w:rPr>
              <w:t xml:space="preserve">（提供产品功能界面截图证明）</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支持视频流媒体格式过滤，包括G.711、G.729、H.264、H.263、MP4、PS等）</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业务状态监控功能，实时提供业务是否可用、连接会话、流量统计等信息</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支持用户认证，包括口令、证书等认证方式；并支持用户在线时段控制</w:t>
            </w:r>
            <w:r/>
          </w:p>
        </w:tc>
      </w:tr>
      <w:tr>
        <w:trPr>
          <w:trHeight w:val="240"/>
        </w:trPr>
        <w:tc>
          <w:tcPr>
            <w:tcW w:w="1842" w:type="dxa"/>
            <w:vAlign w:val="top"/>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☆双机热备</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通过独立的热备接口实现双机热备；</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支持抢占、非抢占模式</w:t>
            </w:r>
            <w:r/>
          </w:p>
        </w:tc>
      </w:tr>
      <w:tr>
        <w:trPr>
          <w:trHeight w:val="343"/>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支持配置同步</w:t>
            </w:r>
            <w:r/>
          </w:p>
        </w:tc>
      </w:tr>
      <w:tr>
        <w:trPr>
          <w:trHeight w:val="240"/>
        </w:trPr>
        <w:tc>
          <w:tcPr>
            <w:tcW w:w="1842" w:type="dxa"/>
            <w:vAlign w:val="top"/>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支持主、备状态实时展示</w:t>
            </w:r>
            <w:r/>
          </w:p>
        </w:tc>
      </w:tr>
      <w:tr>
        <w:trPr>
          <w:trHeight w:val="480"/>
        </w:trPr>
        <w:tc>
          <w:tcPr>
            <w:tcW w:w="1842"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负载均衡</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支持多台设备实现负载均衡，无需第三方软硬件支持；</w:t>
            </w:r>
            <w:r/>
          </w:p>
        </w:tc>
      </w:tr>
      <w:tr>
        <w:trPr>
          <w:trHeight w:val="480"/>
        </w:trPr>
        <w:tc>
          <w:tcPr>
            <w:tcW w:w="1842" w:type="dxa"/>
            <w:vAlign w:val="center"/>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产品成熟度</w:t>
            </w:r>
            <w:r/>
          </w:p>
        </w:tc>
        <w:tc>
          <w:tcPr>
            <w:tcW w:w="7946" w:type="dxa"/>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投标产品的厂商具备业务连续性管理体系认证证书（ISO22301)认证证书</w:t>
            </w:r>
            <w:r>
              <w:rPr>
                <w:rFonts w:hint="eastAsia" w:ascii="仿宋" w:hAnsi="仿宋" w:eastAsia="仿宋" w:cs="宋体"/>
                <w:b/>
                <w:bCs/>
                <w:color w:val="auto"/>
                <w:sz w:val="24"/>
                <w:szCs w:val="24"/>
                <w:highlight w:val="none"/>
              </w:rPr>
              <w:t xml:space="preserve">（提供证书复印件或官网查询链接证明）</w:t>
            </w:r>
            <w:r/>
          </w:p>
        </w:tc>
      </w:tr>
      <w:tr>
        <w:trPr>
          <w:trHeight w:val="480"/>
        </w:trPr>
        <w:tc>
          <w:tcPr>
            <w:tcW w:w="1842"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W w:w="7946" w:type="dxa"/>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olor w:val="auto"/>
                <w:sz w:val="24"/>
                <w:szCs w:val="24"/>
                <w:highlight w:val="none"/>
              </w:rPr>
              <w:t xml:space="preserve">▲</w:t>
            </w:r>
            <w:r>
              <w:rPr>
                <w:rFonts w:hint="eastAsia" w:ascii="仿宋" w:hAnsi="仿宋" w:eastAsia="仿宋" w:cs="宋体"/>
                <w:color w:val="auto"/>
                <w:sz w:val="24"/>
                <w:szCs w:val="24"/>
                <w:highlight w:val="none"/>
              </w:rPr>
              <w:t xml:space="preserve">投标产品的厂商具备中国信息安全测评中心颁发的安全服务能力评定证书-风险评估类二级及以上证书</w:t>
            </w:r>
            <w:r>
              <w:rPr>
                <w:rFonts w:hint="eastAsia" w:ascii="仿宋" w:hAnsi="仿宋" w:eastAsia="仿宋" w:cs="宋体"/>
                <w:b/>
                <w:bCs/>
                <w:color w:val="auto"/>
                <w:sz w:val="24"/>
                <w:szCs w:val="24"/>
                <w:highlight w:val="none"/>
              </w:rPr>
              <w:t xml:space="preserve">（提供证书复印件或官网查询链接证明）</w:t>
            </w:r>
            <w:r/>
          </w:p>
        </w:tc>
      </w:tr>
      <w:tr>
        <w:trPr>
          <w:trHeight w:val="950"/>
        </w:trPr>
        <w:tc>
          <w:tcPr>
            <w:tcW w:w="1842" w:type="dxa"/>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售后及功能授权</w:t>
            </w:r>
            <w:r/>
          </w:p>
        </w:tc>
        <w:tc>
          <w:tcPr>
            <w:tcW w:w="7946" w:type="dxa"/>
            <w:vAlign w:val="top"/>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★包含</w:t>
            </w:r>
            <w:r>
              <w:rPr>
                <w:rFonts w:hint="eastAsia" w:ascii="仿宋" w:hAnsi="仿宋" w:eastAsia="仿宋" w:cs="宋体"/>
                <w:color w:val="auto"/>
                <w:sz w:val="24"/>
                <w:szCs w:val="24"/>
                <w:highlight w:val="none"/>
                <w:lang w:val="en-US" w:eastAsia="zh-CN"/>
              </w:rPr>
              <w:t xml:space="preserve">5</w:t>
            </w:r>
            <w:r>
              <w:rPr>
                <w:rFonts w:hint="eastAsia" w:ascii="仿宋" w:hAnsi="仿宋" w:eastAsia="仿宋" w:cs="宋体"/>
                <w:color w:val="auto"/>
                <w:sz w:val="24"/>
                <w:szCs w:val="24"/>
                <w:highlight w:val="none"/>
              </w:rPr>
              <w:t xml:space="preserve">年原厂5*8h的电话、远程、上门服务技术支持；</w:t>
            </w:r>
            <w:r>
              <w:rPr>
                <w:rFonts w:hint="eastAsia" w:ascii="仿宋" w:hAnsi="仿宋" w:eastAsia="仿宋" w:cs="宋体"/>
                <w:color w:val="auto"/>
                <w:sz w:val="24"/>
                <w:szCs w:val="24"/>
                <w:highlight w:val="none"/>
                <w:lang w:val="en-US" w:eastAsia="zh-CN"/>
              </w:rPr>
              <w:t xml:space="preserve">5</w:t>
            </w:r>
            <w:r>
              <w:rPr>
                <w:rFonts w:hint="eastAsia" w:ascii="仿宋" w:hAnsi="仿宋" w:eastAsia="仿宋" w:cs="宋体"/>
                <w:color w:val="auto"/>
                <w:sz w:val="24"/>
                <w:szCs w:val="24"/>
                <w:highlight w:val="none"/>
              </w:rPr>
              <w:t xml:space="preserve">年硬件质保</w:t>
            </w:r>
            <w:r/>
          </w:p>
        </w:tc>
      </w:tr>
    </w:tbl>
    <w:p>
      <w:pPr>
        <w:pStyle w:val="910"/>
        <w:numPr>
          <w:ilvl w:val="0"/>
          <w:numId w:val="0"/>
        </w:numPr>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r>
      <w:r/>
    </w:p>
    <w:p>
      <w:pPr>
        <w:pStyle w:val="910"/>
        <w:numPr>
          <w:ilvl w:val="0"/>
          <w:numId w:val="14"/>
        </w:numPr>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lang w:val="en-US" w:eastAsia="zh-CN"/>
        </w:rPr>
        <w:t xml:space="preserve">管理平板</w:t>
      </w:r>
      <w:r/>
    </w:p>
    <w:tbl>
      <w:tblPr>
        <w:tblStyle w:val="879"/>
        <w:tblW w:w="5979" w:type="pct"/>
        <w:tblInd w:w="-431" w:type="dxa"/>
        <w:tblLayout w:type="autofit"/>
        <w:tblCellMar>
          <w:left w:w="108" w:type="dxa"/>
          <w:top w:w="0" w:type="dxa"/>
          <w:right w:w="108" w:type="dxa"/>
          <w:bottom w:w="0" w:type="dxa"/>
        </w:tblCellMar>
        <w:tblLook w:val="04A0" w:firstRow="1" w:lastRow="0" w:firstColumn="1" w:lastColumn="0" w:noHBand="0" w:noVBand="1"/>
      </w:tblPr>
      <w:tblGrid>
        <w:gridCol w:w="1820"/>
        <w:gridCol w:w="8371"/>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106"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540"/>
        </w:trPr>
        <w:tc>
          <w:tcPr>
            <w:shd w:val="clear" w:color="000000" w:fill="ffffff"/>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屏幕尺寸</w:t>
            </w:r>
            <w:r/>
          </w:p>
        </w:tc>
        <w:tc>
          <w:tcPr>
            <w:shd w:val="clear" w:color="000000" w:fill="ffffff"/>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lang w:val="en-US" w:eastAsia="zh-CN"/>
              </w:rPr>
              <w:t xml:space="preserve">不低于12.2英寸</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运行内存</w:t>
            </w:r>
            <w:r>
              <w:rPr>
                <w:rFonts w:hint="eastAsia" w:ascii="仿宋" w:hAnsi="仿宋" w:eastAsia="仿宋" w:cs="宋体"/>
                <w:color w:val="auto"/>
                <w:sz w:val="24"/>
                <w:szCs w:val="24"/>
                <w:highlight w:val="none"/>
                <w:lang w:val="en-US" w:eastAsia="zh-CN"/>
              </w:rPr>
              <w:t xml:space="preserve">(RAM)</w:t>
            </w:r>
            <w:r/>
          </w:p>
        </w:tc>
        <w:tc>
          <w:tcPr>
            <w:shd w:val="clear" w:color="auto" w:fill="auto"/>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lang w:val="en-US" w:eastAsia="zh-CN"/>
              </w:rPr>
              <w:t xml:space="preserve">不低于12GB</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 xml:space="preserve">存储容量</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ROM</w:t>
            </w:r>
            <w:r>
              <w:rPr>
                <w:rFonts w:hint="eastAsia" w:ascii="仿宋" w:hAnsi="仿宋" w:eastAsia="仿宋" w:cs="宋体"/>
                <w:color w:val="auto"/>
                <w:sz w:val="24"/>
                <w:szCs w:val="24"/>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hint="default" w:ascii="仿宋" w:hAnsi="仿宋" w:eastAsia="仿宋" w:cs="宋体"/>
                <w:color w:val="auto"/>
                <w:sz w:val="24"/>
                <w:szCs w:val="24"/>
                <w:highlight w:val="none"/>
                <w:lang w:val="en-US"/>
              </w:rPr>
            </w:pP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lang w:val="en-US" w:eastAsia="zh-CN"/>
              </w:rPr>
              <w:t xml:space="preserve">不低于512GB</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分辨率</w:t>
            </w:r>
            <w:r/>
          </w:p>
        </w:tc>
        <w:tc>
          <w:tcPr>
            <w:shd w:val="clear" w:color="auto" w:fill="auto"/>
            <w:tcBorders>
              <w:top w:val="single" w:color="auto" w:sz="4" w:space="0"/>
              <w:left w:val="none" w:color="000000" w:sz="4" w:space="0"/>
              <w:bottom w:val="single" w:color="auto" w:sz="4" w:space="0"/>
              <w:right w:val="single" w:color="auto" w:sz="4" w:space="0"/>
            </w:tcBorders>
            <w:tcW w:w="4106" w:type="pct"/>
            <w:vAlign w:val="center"/>
            <w:textDirection w:val="lrTb"/>
            <w:noWrap w:val="false"/>
          </w:tcPr>
          <w:p>
            <w:pPr>
              <w:jc w:val="lef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不低于2800 × 1840像素</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前置摄像头</w:t>
            </w:r>
            <w:r/>
          </w:p>
        </w:tc>
        <w:tc>
          <w:tcPr>
            <w:shd w:val="clear" w:color="auto" w:fill="auto"/>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不低于</w:t>
            </w:r>
            <w:r>
              <w:rPr>
                <w:rFonts w:hint="eastAsia" w:ascii="仿宋" w:hAnsi="仿宋" w:eastAsia="仿宋" w:cs="宋体"/>
                <w:color w:val="auto"/>
                <w:sz w:val="24"/>
                <w:szCs w:val="24"/>
                <w:highlight w:val="none"/>
              </w:rPr>
              <w:t xml:space="preserve">800万像素</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后置摄像头</w:t>
            </w:r>
            <w:r/>
          </w:p>
        </w:tc>
        <w:tc>
          <w:tcPr>
            <w:shd w:val="clear" w:color="auto" w:fill="auto"/>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不低于1300万像素</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音频</w:t>
            </w:r>
            <w:r/>
          </w:p>
        </w:tc>
        <w:tc>
          <w:tcPr>
            <w:shd w:val="clear" w:color="auto" w:fill="auto"/>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 xml:space="preserve">立体声扬声器</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4个（8驱阵列式扬声器）</w:t>
            </w:r>
            <w:r>
              <w:rPr>
                <w:rFonts w:hint="eastAsia" w:ascii="仿宋" w:hAnsi="仿宋" w:eastAsia="仿宋" w:cs="宋体"/>
                <w:color w:val="auto"/>
                <w:sz w:val="24"/>
                <w:szCs w:val="24"/>
                <w:highlight w:val="none"/>
                <w:lang w:eastAsia="zh-CN"/>
              </w:rPr>
              <w:t xml:space="preserve">；</w:t>
            </w:r>
            <w:r/>
          </w:p>
          <w:p>
            <w:p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 xml:space="preserve">麦克风</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4个</w:t>
            </w:r>
            <w:r>
              <w:rPr>
                <w:rFonts w:hint="eastAsia" w:ascii="仿宋" w:hAnsi="仿宋" w:eastAsia="仿宋" w:cs="宋体"/>
                <w:color w:val="auto"/>
                <w:sz w:val="24"/>
                <w:szCs w:val="24"/>
                <w:highlight w:val="none"/>
                <w:lang w:eastAsia="zh-CN"/>
              </w:rPr>
              <w:t xml:space="preserve">；</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3"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4106"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配磁吸键盘和手写笔</w:t>
            </w:r>
            <w:r>
              <w:rPr>
                <w:rFonts w:hint="eastAsia" w:ascii="仿宋" w:hAnsi="仿宋" w:eastAsia="仿宋" w:cs="宋体"/>
                <w:color w:val="auto"/>
                <w:sz w:val="24"/>
                <w:szCs w:val="24"/>
                <w:highlight w:val="none"/>
                <w:lang w:val="en-US" w:eastAsia="zh-CN"/>
              </w:rPr>
              <w:t xml:space="preserve">1套</w:t>
            </w:r>
            <w:r/>
          </w:p>
        </w:tc>
      </w:tr>
    </w:tbl>
    <w:p>
      <w:pPr>
        <w:pStyle w:val="910"/>
        <w:numPr>
          <w:ilvl w:val="0"/>
          <w:numId w:val="0"/>
        </w:numPr>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r>
      <w:r/>
    </w:p>
    <w:p>
      <w:pPr>
        <w:pStyle w:val="910"/>
        <w:numPr>
          <w:ilvl w:val="0"/>
          <w:numId w:val="14"/>
        </w:numPr>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t xml:space="preserve">管理电脑（C86配置）</w:t>
      </w:r>
      <w:r/>
    </w:p>
    <w:tbl>
      <w:tblPr>
        <w:tblStyle w:val="879"/>
        <w:tblW w:w="5979" w:type="pct"/>
        <w:tblInd w:w="-431" w:type="dxa"/>
        <w:tblLayout w:type="autofit"/>
        <w:tblCellMar>
          <w:left w:w="108" w:type="dxa"/>
          <w:top w:w="0" w:type="dxa"/>
          <w:right w:w="108" w:type="dxa"/>
          <w:bottom w:w="0" w:type="dxa"/>
        </w:tblCellMar>
        <w:tblLook w:val="04A0" w:firstRow="1" w:lastRow="0" w:firstColumn="1" w:lastColumn="0" w:noHBand="0" w:noVBand="1"/>
      </w:tblPr>
      <w:tblGrid>
        <w:gridCol w:w="1818"/>
        <w:gridCol w:w="8373"/>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892"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107"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540"/>
        </w:trPr>
        <w:tc>
          <w:tcPr>
            <w:shd w:val="clear" w:color="000000" w:fill="ffffff"/>
            <w:tcBorders>
              <w:top w:val="none" w:color="000000" w:sz="4" w:space="0"/>
              <w:left w:val="single" w:color="auto" w:sz="4" w:space="0"/>
              <w:bottom w:val="single" w:color="auto" w:sz="4" w:space="0"/>
              <w:right w:val="single" w:color="auto" w:sz="4" w:space="0"/>
            </w:tcBorders>
            <w:tcW w:w="892"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★CPU</w:t>
            </w:r>
            <w:r/>
          </w:p>
        </w:tc>
        <w:tc>
          <w:tcPr>
            <w:shd w:val="clear" w:color="000000" w:fill="ffffff"/>
            <w:tcBorders>
              <w:top w:val="none" w:color="000000" w:sz="4" w:space="0"/>
              <w:left w:val="none" w:color="000000" w:sz="4" w:space="0"/>
              <w:bottom w:val="single" w:color="auto" w:sz="4" w:space="0"/>
              <w:right w:val="single" w:color="auto" w:sz="4" w:space="0"/>
            </w:tcBorders>
            <w:tcW w:w="4107"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通过中国信息安全测评中心安全可靠测评，安全可靠等级≥I级；C86架构，物理核心数≥8核，线程数≥16个，主频≥3.0GHz，三级缓存≥16MB，TDP功耗≤65W，支持内存频率≥3200MHz；</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2"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4107"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≥8GB DDR4 内存，配置≥2个内存插槽；</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2" w:type="pct"/>
            <w:vAlign w:val="center"/>
            <w:textDirection w:val="lrTb"/>
            <w:noWrap w:val="false"/>
          </w:tcPr>
          <w:p>
            <w:p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4107" w:type="pct"/>
            <w:vAlign w:val="center"/>
            <w:textDirection w:val="lrTb"/>
            <w:noWrap w:val="false"/>
          </w:tcPr>
          <w:p>
            <w:pPr>
              <w:jc w:val="left"/>
              <w:widowControl/>
              <w:rPr>
                <w:rFonts w:hint="default" w:ascii="仿宋" w:hAnsi="仿宋" w:eastAsia="仿宋" w:cs="宋体"/>
                <w:color w:val="auto"/>
                <w:sz w:val="24"/>
                <w:szCs w:val="24"/>
                <w:highlight w:val="none"/>
                <w:lang w:val="en-US"/>
              </w:rPr>
            </w:pPr>
            <w:r>
              <w:rPr>
                <w:rFonts w:hint="eastAsia" w:ascii="仿宋" w:hAnsi="仿宋" w:eastAsia="仿宋" w:cs="宋体"/>
                <w:color w:val="auto"/>
                <w:sz w:val="24"/>
                <w:szCs w:val="24"/>
                <w:highlight w:val="none"/>
              </w:rPr>
              <w:t xml:space="preserve">本次配置1块容量≥250GB M.2固态硬盘；</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892"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显卡</w:t>
            </w:r>
            <w:r/>
          </w:p>
        </w:tc>
        <w:tc>
          <w:tcPr>
            <w:shd w:val="clear" w:color="auto" w:fill="auto"/>
            <w:tcBorders>
              <w:top w:val="single" w:color="auto" w:sz="4" w:space="0"/>
              <w:left w:val="none" w:color="000000" w:sz="4" w:space="0"/>
              <w:bottom w:val="single" w:color="auto" w:sz="4" w:space="0"/>
              <w:right w:val="single" w:color="auto" w:sz="4" w:space="0"/>
            </w:tcBorders>
            <w:tcW w:w="4107"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≥2G国产独立显卡，至少支持VGA、HDMI、DVI、DP、Type-C中2种显示接口，并与本次显示器接口相匹配；</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2"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4107"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≥23.8寸高清显示器，分辨率≥1920*1080，与主机同品牌；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2"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4107"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配置USB接口有线光电鼠标、有线键盘与主机同品牌；</w:t>
            </w:r>
            <w:r/>
          </w:p>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提供国产</w:t>
            </w:r>
            <w:r>
              <w:rPr>
                <w:rFonts w:hint="eastAsia" w:ascii="仿宋" w:hAnsi="仿宋" w:eastAsia="仿宋" w:cs="宋体"/>
                <w:color w:val="auto"/>
                <w:sz w:val="24"/>
                <w:szCs w:val="24"/>
                <w:highlight w:val="none"/>
              </w:rPr>
              <w:t xml:space="preserve">桌面操作系统</w:t>
            </w:r>
            <w:r>
              <w:rPr>
                <w:rFonts w:hint="eastAsia" w:ascii="仿宋" w:hAnsi="仿宋" w:eastAsia="仿宋" w:cs="宋体"/>
                <w:color w:val="auto"/>
                <w:sz w:val="24"/>
                <w:szCs w:val="24"/>
                <w:highlight w:val="none"/>
                <w:lang w:eastAsia="zh-CN"/>
              </w:rPr>
              <w:t xml:space="preserve">；</w:t>
            </w:r>
            <w:r/>
          </w:p>
        </w:tc>
      </w:tr>
    </w:tbl>
    <w:p>
      <w:pPr>
        <w:pStyle w:val="910"/>
        <w:numPr>
          <w:ilvl w:val="0"/>
          <w:numId w:val="0"/>
        </w:numPr>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r>
      <w:r/>
    </w:p>
    <w:p>
      <w:pPr>
        <w:pStyle w:val="910"/>
        <w:numPr>
          <w:ilvl w:val="0"/>
          <w:numId w:val="14"/>
        </w:numPr>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t xml:space="preserve">管理电脑（龙芯配置）</w:t>
      </w:r>
      <w:r/>
    </w:p>
    <w:tbl>
      <w:tblPr>
        <w:tblStyle w:val="879"/>
        <w:tblW w:w="5979" w:type="pct"/>
        <w:tblInd w:w="-431" w:type="dxa"/>
        <w:tblLayout w:type="autofit"/>
        <w:tblCellMar>
          <w:left w:w="108" w:type="dxa"/>
          <w:top w:w="0" w:type="dxa"/>
          <w:right w:w="108" w:type="dxa"/>
          <w:bottom w:w="0" w:type="dxa"/>
        </w:tblCellMar>
        <w:tblLook w:val="04A0" w:firstRow="1" w:lastRow="0" w:firstColumn="1" w:lastColumn="0" w:noHBand="0" w:noVBand="1"/>
      </w:tblPr>
      <w:tblGrid>
        <w:gridCol w:w="1816"/>
        <w:gridCol w:w="8375"/>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108"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540"/>
        </w:trPr>
        <w:tc>
          <w:tcPr>
            <w:shd w:val="clear" w:color="000000" w:fill="ffffff"/>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★CPU</w:t>
            </w:r>
            <w:r/>
          </w:p>
        </w:tc>
        <w:tc>
          <w:tcPr>
            <w:shd w:val="clear" w:color="000000" w:fill="ffffff"/>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通过中国信息安全测评中心安全可靠测评，安全可靠等级≥I级；支持LoongArch指令集，物理核心数≥4核，主频≥2.5GHz，三级缓存≥16MB，TDP功耗≤80W，支持内存频率≥3200MHz；</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≥16GB DDR4内存，配置≥2个内存插槽；</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本次配置1块容量≥500GB M.2固态硬盘；</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显卡</w:t>
            </w:r>
            <w:r/>
          </w:p>
        </w:tc>
        <w:tc>
          <w:tcPr>
            <w:shd w:val="clear" w:color="auto" w:fill="auto"/>
            <w:tcBorders>
              <w:top w:val="single" w:color="auto"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≥2G显存的独立或板载显卡芯片，至少支持VGA、HDMI、DVI、DP、Type-C中2种显示接口，并与本次显示器接口相匹配；</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≥23.8寸高清显示器，分辨率≥1920*1080，与主机同品牌；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配置USB接口有线光电鼠标、有线键盘与主机同品牌；</w:t>
            </w:r>
            <w:r/>
          </w:p>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rPr>
              <w:t xml:space="preserve">提供国产</w:t>
            </w:r>
            <w:r>
              <w:rPr>
                <w:rFonts w:hint="eastAsia" w:ascii="仿宋" w:hAnsi="仿宋" w:eastAsia="仿宋" w:cs="宋体"/>
                <w:color w:val="auto"/>
                <w:sz w:val="24"/>
                <w:szCs w:val="24"/>
                <w:highlight w:val="none"/>
              </w:rPr>
              <w:t xml:space="preserve">桌面操作系统</w:t>
            </w:r>
            <w:r>
              <w:rPr>
                <w:rFonts w:hint="eastAsia" w:ascii="仿宋" w:hAnsi="仿宋" w:eastAsia="仿宋" w:cs="宋体"/>
                <w:color w:val="auto"/>
                <w:sz w:val="24"/>
                <w:szCs w:val="24"/>
                <w:highlight w:val="none"/>
                <w:lang w:eastAsia="zh-CN"/>
              </w:rPr>
              <w:t xml:space="preserve">；</w:t>
            </w:r>
            <w:r/>
          </w:p>
        </w:tc>
      </w:tr>
    </w:tbl>
    <w:p>
      <w:pPr>
        <w:pStyle w:val="910"/>
        <w:numPr>
          <w:ilvl w:val="0"/>
          <w:numId w:val="0"/>
        </w:numPr>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r>
      <w:r/>
    </w:p>
    <w:p>
      <w:pPr>
        <w:pStyle w:val="910"/>
        <w:numPr>
          <w:ilvl w:val="0"/>
          <w:numId w:val="14"/>
        </w:numPr>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t xml:space="preserve">管理电脑（ARM配置）</w:t>
      </w:r>
      <w:r/>
    </w:p>
    <w:tbl>
      <w:tblPr>
        <w:tblStyle w:val="879"/>
        <w:tblW w:w="5979" w:type="pct"/>
        <w:tblInd w:w="-431" w:type="dxa"/>
        <w:tblLayout w:type="autofit"/>
        <w:tblCellMar>
          <w:left w:w="108" w:type="dxa"/>
          <w:top w:w="0" w:type="dxa"/>
          <w:right w:w="108" w:type="dxa"/>
          <w:bottom w:w="0" w:type="dxa"/>
        </w:tblCellMar>
        <w:tblLook w:val="04A0" w:firstRow="1" w:lastRow="0" w:firstColumn="1" w:lastColumn="0" w:noHBand="0" w:noVBand="1"/>
      </w:tblPr>
      <w:tblGrid>
        <w:gridCol w:w="1816"/>
        <w:gridCol w:w="8375"/>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4108" w:type="pct"/>
            <w:vAlign w:val="center"/>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技术参数要求</w:t>
            </w:r>
            <w:r/>
          </w:p>
        </w:tc>
      </w:tr>
      <w:tr>
        <w:trPr>
          <w:trHeight w:val="606"/>
        </w:trPr>
        <w:tc>
          <w:tcPr>
            <w:shd w:val="clear" w:color="000000" w:fill="ffffff"/>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★CPU</w:t>
            </w:r>
            <w:r/>
          </w:p>
        </w:tc>
        <w:tc>
          <w:tcPr>
            <w:shd w:val="clear" w:color="000000" w:fill="ffffff"/>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通过中国信息安全测评中心安全可靠测评，安全可靠等级≥I级； ARM构架，物理核心数≥8核，线程数≥8，主频≥2.3GHz，末级缓存≥4MB，TDP功耗≤70W，内存读写速率≥4266MT/S;</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default" w:ascii="仿宋" w:hAnsi="仿宋" w:eastAsia="仿宋" w:cs="宋体"/>
                <w:color w:val="auto"/>
                <w:sz w:val="24"/>
                <w:szCs w:val="24"/>
                <w:highlight w:val="none"/>
                <w:lang w:val="en-US" w:eastAsia="zh-CN"/>
              </w:rPr>
            </w:pPr>
            <w:r>
              <w:rPr>
                <w:rFonts w:hint="default" w:ascii="仿宋" w:hAnsi="仿宋" w:eastAsia="仿宋" w:cs="宋体"/>
                <w:color w:val="auto"/>
                <w:sz w:val="24"/>
                <w:szCs w:val="24"/>
                <w:highlight w:val="none"/>
                <w:lang w:val="en-US" w:eastAsia="zh-CN"/>
              </w:rPr>
              <w:t xml:space="preserve">≥8GB内存，CPU支持的内存最高速率≥6400MT/S；</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硬盘</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default" w:ascii="仿宋" w:hAnsi="仿宋" w:eastAsia="仿宋" w:cs="宋体"/>
                <w:color w:val="auto"/>
                <w:sz w:val="24"/>
                <w:szCs w:val="24"/>
                <w:highlight w:val="none"/>
                <w:lang w:val="en-US"/>
              </w:rPr>
            </w:pPr>
            <w:r>
              <w:rPr>
                <w:rFonts w:hint="default" w:ascii="仿宋" w:hAnsi="仿宋" w:eastAsia="仿宋" w:cs="宋体"/>
                <w:color w:val="auto"/>
                <w:sz w:val="24"/>
                <w:szCs w:val="24"/>
                <w:highlight w:val="none"/>
                <w:lang w:val="en-US"/>
              </w:rPr>
              <w:t xml:space="preserve">本次配置1块容量≥250GB固态硬盘；</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显卡</w:t>
            </w:r>
            <w:r/>
          </w:p>
        </w:tc>
        <w:tc>
          <w:tcPr>
            <w:shd w:val="clear" w:color="auto" w:fill="auto"/>
            <w:tcBorders>
              <w:top w:val="single" w:color="auto" w:sz="4" w:space="0"/>
              <w:left w:val="none" w:color="000000" w:sz="4" w:space="0"/>
              <w:bottom w:val="single" w:color="auto" w:sz="4" w:space="0"/>
              <w:right w:val="single" w:color="auto" w:sz="4" w:space="0"/>
            </w:tcBorders>
            <w:tcW w:w="4108" w:type="pct"/>
            <w:vAlign w:val="center"/>
            <w:textDirection w:val="lrTb"/>
            <w:noWrap w:val="false"/>
          </w:tcPr>
          <w:p>
            <w:pPr>
              <w:jc w:val="lef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集成显卡，至少支持VGA、HDMI、DVI、DP、Type-C中2种显示接口，并与本次显示器接口相匹配；</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≥23.8寸高清显示器，分辨率≥1920*1080，与主机同品牌；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891" w:type="pct"/>
            <w:vAlign w:val="center"/>
            <w:textDirection w:val="lrTb"/>
            <w:noWrap w:val="false"/>
          </w:tcPr>
          <w:p>
            <w:pPr>
              <w:jc w:val="left"/>
              <w:widowControl/>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4108"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配置USB接口有线光电鼠标、有线键盘与主机同品牌；</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提供国产</w:t>
            </w:r>
            <w:r>
              <w:rPr>
                <w:rFonts w:hint="eastAsia" w:ascii="仿宋" w:hAnsi="仿宋" w:eastAsia="仿宋" w:cs="宋体"/>
                <w:color w:val="auto"/>
                <w:sz w:val="24"/>
                <w:szCs w:val="24"/>
                <w:highlight w:val="none"/>
              </w:rPr>
              <w:t xml:space="preserve">桌面操作系统</w:t>
            </w:r>
            <w:r>
              <w:rPr>
                <w:rFonts w:hint="eastAsia" w:ascii="仿宋" w:hAnsi="仿宋" w:eastAsia="仿宋" w:cs="宋体"/>
                <w:color w:val="auto"/>
                <w:sz w:val="24"/>
                <w:szCs w:val="24"/>
                <w:highlight w:val="none"/>
                <w:lang w:eastAsia="zh-CN"/>
              </w:rPr>
              <w:t xml:space="preserve">；</w:t>
            </w:r>
            <w:r/>
          </w:p>
        </w:tc>
      </w:tr>
    </w:tbl>
    <w:p>
      <w:pPr>
        <w:pStyle w:val="910"/>
        <w:numPr>
          <w:ilvl w:val="0"/>
          <w:numId w:val="0"/>
        </w:numPr>
        <w:contextualSpacing/>
        <w:jc w:val="both"/>
        <w:widowControl w:val="off"/>
        <w:rPr>
          <w:rFonts w:hint="eastAsia" w:ascii="仿宋" w:hAnsi="仿宋" w:eastAsia="仿宋" w:cs="Times New Roman"/>
          <w:b/>
          <w:color w:val="auto"/>
          <w:sz w:val="24"/>
          <w:szCs w:val="24"/>
          <w:highlight w:val="none"/>
          <w:lang w:val="en-US" w:eastAsia="zh-CN"/>
        </w:rPr>
      </w:pPr>
      <w:r>
        <w:rPr>
          <w:rFonts w:hint="eastAsia" w:ascii="仿宋" w:hAnsi="仿宋" w:eastAsia="仿宋" w:cs="Times New Roman"/>
          <w:b/>
          <w:color w:val="auto"/>
          <w:sz w:val="24"/>
          <w:szCs w:val="24"/>
          <w:highlight w:val="none"/>
          <w:lang w:val="en-US" w:eastAsia="zh-CN"/>
        </w:rPr>
      </w:r>
      <w:r/>
    </w:p>
    <w:p>
      <w:pPr>
        <w:numPr>
          <w:ilvl w:val="0"/>
          <w:numId w:val="0"/>
        </w:numPr>
        <w:ind w:left="480"/>
        <w:jc w:val="left"/>
        <w:keepNext/>
        <w:rPr>
          <w:rFonts w:hint="eastAsia" w:ascii="仿宋" w:hAnsi="仿宋" w:eastAsia="仿宋" w:cs="Times New Roman"/>
          <w:color w:val="auto"/>
          <w:sz w:val="28"/>
          <w:szCs w:val="28"/>
          <w:highlight w:val="none"/>
          <w:lang w:val="en-US" w:eastAsia="zh-CN"/>
        </w:rPr>
        <w:outlineLvl w:val="0"/>
      </w:pPr>
      <w:r>
        <w:rPr>
          <w:rFonts w:hint="eastAsia" w:ascii="仿宋" w:hAnsi="仿宋" w:eastAsia="仿宋" w:cs="Times New Roman"/>
          <w:color w:val="auto"/>
          <w:sz w:val="28"/>
          <w:szCs w:val="28"/>
          <w:highlight w:val="none"/>
          <w:lang w:val="en-US" w:eastAsia="zh-CN"/>
        </w:rPr>
        <w:t xml:space="preserve">四、商务部分要求</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交货期：自合同签订之日起，</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个</w:t>
      </w:r>
      <w:r>
        <w:rPr>
          <w:rFonts w:hint="eastAsia" w:ascii="宋体" w:hAnsi="宋体" w:eastAsia="宋体" w:cs="宋体"/>
          <w:bCs/>
          <w:color w:val="auto"/>
          <w:sz w:val="24"/>
          <w:szCs w:val="24"/>
          <w:highlight w:val="none"/>
          <w:lang w:val="en-US" w:eastAsia="zh-CN"/>
        </w:rPr>
        <w:t xml:space="preserve">工作</w:t>
      </w:r>
      <w:r>
        <w:rPr>
          <w:rFonts w:hint="eastAsia" w:ascii="宋体" w:hAnsi="宋体" w:eastAsia="宋体" w:cs="宋体"/>
          <w:bCs/>
          <w:color w:val="auto"/>
          <w:sz w:val="24"/>
          <w:szCs w:val="24"/>
          <w:highlight w:val="none"/>
        </w:rPr>
        <w:t xml:space="preserve">日完成合同全部设备的交货、安装、集成、调试工作。</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质保期：</w:t>
      </w:r>
      <w:r>
        <w:rPr>
          <w:rFonts w:hint="eastAsia" w:ascii="宋体" w:hAnsi="宋体" w:eastAsia="宋体" w:cs="宋体"/>
          <w:bCs/>
          <w:color w:val="auto"/>
          <w:sz w:val="24"/>
          <w:szCs w:val="24"/>
          <w:highlight w:val="none"/>
          <w:lang w:val="en-US" w:eastAsia="zh-CN"/>
        </w:rPr>
        <w:t xml:space="preserve">参照技术要求参数部分</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lang w:val="en-US" w:eastAsia="zh-CN"/>
        </w:rPr>
        <w:t xml:space="preserve">通过验收之日起</w:t>
      </w:r>
      <w:r>
        <w:rPr>
          <w:rFonts w:hint="eastAsia" w:ascii="宋体" w:hAnsi="宋体" w:eastAsia="宋体" w:cs="宋体"/>
          <w:bCs/>
          <w:color w:val="auto"/>
          <w:sz w:val="24"/>
          <w:szCs w:val="24"/>
          <w:highlight w:val="none"/>
        </w:rPr>
        <w:t xml:space="preserve">开始计算）。</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交货方式：设备及软件货物现场交货验货，并提交相关交付物。</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交货地点：采购人指定地点。</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货款支付：签订合同后30日内支付合同金额的30%，项目验收合格后支付至合同金额的80%，余款待验收合格满五年后30日内付清。</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6.备品备件及耗材等要求：满足本项目设备的安装、调试、集成、质保、运维等需求。</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7.项目验收：本项目所有分包全部完成后由采购人统一组织验收。</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8.本项目所有分包均不接受进口产品投标。</w:t>
      </w:r>
      <w:r/>
    </w:p>
    <w:p>
      <w:pPr>
        <w:ind w:firstLine="480"/>
        <w:spacing w:line="5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9.履约保证金要求：</w:t>
      </w:r>
      <w:r>
        <w:rPr>
          <w:rFonts w:hint="eastAsia" w:ascii="宋体" w:hAnsi="宋体" w:cs="宋体"/>
          <w:bCs/>
          <w:color w:val="auto"/>
          <w:sz w:val="24"/>
          <w:szCs w:val="24"/>
          <w:highlight w:val="none"/>
          <w:lang w:val="en-US" w:eastAsia="zh-CN"/>
        </w:rPr>
        <w:t xml:space="preserve">无。</w:t>
      </w:r>
      <w:r/>
    </w:p>
    <w:p>
      <w:pPr>
        <w:numPr>
          <w:ilvl w:val="0"/>
          <w:numId w:val="0"/>
        </w:numPr>
        <w:ind w:left="480"/>
        <w:jc w:val="left"/>
        <w:keepNext/>
        <w:rPr>
          <w:rFonts w:hint="eastAsia" w:ascii="Times New Roman" w:hAnsi="Times New Roman" w:eastAsia="方正仿宋_GBK" w:cs="Times New Roman"/>
          <w:b/>
          <w:bCs w:val="0"/>
          <w:color w:val="auto"/>
          <w:sz w:val="24"/>
          <w:szCs w:val="24"/>
          <w:highlight w:val="none"/>
          <w:lang w:val="en-US" w:eastAsia="zh-CN"/>
        </w:rPr>
        <w:outlineLvl w:val="0"/>
      </w:pPr>
      <w:r>
        <w:rPr>
          <w:rFonts w:hint="eastAsia" w:ascii="仿宋" w:hAnsi="仿宋" w:eastAsia="仿宋" w:cs="Times New Roman"/>
          <w:color w:val="auto"/>
          <w:sz w:val="28"/>
          <w:szCs w:val="28"/>
          <w:highlight w:val="none"/>
          <w:lang w:val="en-US" w:eastAsia="zh-CN"/>
        </w:rPr>
        <w:t xml:space="preserve">五、采购需求中必须满足的实质性要求。</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技术参数要求中所有加“★”标志的为实质性指标，不允许有负偏离。须提供承诺函，格式自拟并加盖投标人公章。</w:t>
      </w:r>
      <w:r/>
    </w:p>
    <w:p>
      <w:pPr>
        <w:numPr>
          <w:ilvl w:val="0"/>
          <w:numId w:val="0"/>
        </w:numPr>
        <w:ind w:left="480"/>
        <w:jc w:val="left"/>
        <w:keepNext/>
        <w:rPr>
          <w:rFonts w:ascii="仿宋" w:hAnsi="仿宋" w:eastAsia="仿宋" w:cs="Times New Roman"/>
          <w:color w:val="auto"/>
          <w:sz w:val="28"/>
          <w:szCs w:val="28"/>
          <w:highlight w:val="none"/>
          <w:lang w:val="en-US" w:eastAsia="zh-CN"/>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仿宋" w:hAnsi="仿宋" w:eastAsia="仿宋" w:cs="Times New Roman"/>
          <w:color w:val="auto"/>
          <w:sz w:val="28"/>
          <w:szCs w:val="28"/>
          <w:highlight w:val="none"/>
          <w:lang w:val="en-US" w:eastAsia="zh-CN"/>
        </w:rPr>
      </w:r>
      <w:r/>
    </w:p>
    <w:p>
      <w:pPr>
        <w:numPr>
          <w:ilvl w:val="0"/>
          <w:numId w:val="0"/>
        </w:numPr>
        <w:ind w:left="480"/>
        <w:jc w:val="center"/>
        <w:keepNext/>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r/>
    </w:p>
    <w:p>
      <w:pPr>
        <w:rPr>
          <w:rFonts w:hint="eastAsia"/>
          <w:color w:val="auto"/>
          <w:szCs w:val="21"/>
          <w:highlight w:val="none"/>
        </w:rPr>
      </w:pPr>
      <w:r>
        <w:rPr>
          <w:rFonts w:hint="eastAsia"/>
          <w:color w:val="auto"/>
          <w:szCs w:val="21"/>
          <w:highlight w:val="none"/>
        </w:rPr>
      </w:r>
      <w:r/>
    </w:p>
    <w:p>
      <w:pPr>
        <w:pStyle w:val="1137"/>
        <w:ind w:firstLine="439"/>
        <w:rPr>
          <w:rFonts w:hint="eastAsia" w:cs="Arial"/>
          <w:color w:val="auto"/>
          <w:highlight w:val="none"/>
        </w:rPr>
      </w:pPr>
      <w:r>
        <w:rPr>
          <w:rFonts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auto"/>
          <w:highlight w:val="none"/>
        </w:rPr>
        <w:t xml:space="preserve">。本项目选取1名中标候选人。</w:t>
      </w:r>
      <w:r/>
    </w:p>
    <w:tbl>
      <w:tblPr>
        <w:tblStyle w:val="879"/>
        <w:tblW w:w="8818"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2004"/>
        <w:gridCol w:w="5385"/>
      </w:tblGrid>
      <w:tr>
        <w:trPr>
          <w:trHeight w:val="634"/>
        </w:trPr>
        <w:tc>
          <w:tcPr>
            <w:tcW w:w="1429"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采购包号</w:t>
            </w:r>
            <w:r/>
          </w:p>
        </w:tc>
        <w:tc>
          <w:tcPr>
            <w:tcW w:w="2004"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选取中标候选人数量</w:t>
            </w:r>
            <w:r/>
          </w:p>
        </w:tc>
        <w:tc>
          <w:tcPr>
            <w:tcW w:w="5385"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选取中标候选人的原则</w:t>
            </w:r>
            <w:r/>
          </w:p>
        </w:tc>
      </w:tr>
      <w:tr>
        <w:trPr>
          <w:trHeight w:val="649"/>
        </w:trPr>
        <w:tc>
          <w:tcPr>
            <w:tcW w:w="1429" w:type="dxa"/>
            <w:vAlign w:val="center"/>
            <w:textDirection w:val="lrTb"/>
            <w:noWrap w:val="false"/>
          </w:tcPr>
          <w:p>
            <w:pPr>
              <w:jc w:val="center"/>
              <w:spacing w:line="0" w:lineRule="atLeas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2004"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5385"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满足招标文件全部实质性要求，且按照评审因素的量化指标评审得分最高的投标人为中标候选人。</w:t>
            </w:r>
            <w:r/>
          </w:p>
        </w:tc>
      </w:tr>
    </w:tbl>
    <w:p>
      <w:pPr>
        <w:ind w:firstLine="562"/>
        <w:jc w:val="left"/>
        <w:keepLines/>
        <w:keepNex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一、开标</w:t>
      </w:r>
      <w:r/>
    </w:p>
    <w:p>
      <w:pPr>
        <w:ind w:firstLine="56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不见面远程招标模式：开标当天各投标人在各自地点通过苏采云系统及时登录不见面开标大厅，参加开标会。</w:t>
      </w:r>
      <w:r/>
    </w:p>
    <w:p>
      <w:pPr>
        <w:ind w:firstLine="482"/>
        <w:jc w:val="left"/>
        <w:spacing w:line="460" w:lineRule="exact"/>
        <w:rPr>
          <w:rFonts w:hint="eastAsia" w:ascii="宋体" w:hAnsi="宋体" w:cs="楷体"/>
          <w:b/>
          <w:color w:val="auto"/>
          <w:sz w:val="24"/>
          <w:szCs w:val="24"/>
          <w:highlight w:val="none"/>
        </w:rPr>
      </w:pPr>
      <w:r>
        <w:rPr>
          <w:rFonts w:hint="eastAsia" w:ascii="宋体" w:hAnsi="宋体" w:cs="宋体"/>
          <w:b/>
          <w:color w:val="auto"/>
          <w:sz w:val="24"/>
          <w:szCs w:val="24"/>
          <w:highlight w:val="none"/>
        </w:rPr>
        <w:t xml:space="preserve">二、</w:t>
      </w:r>
      <w:r>
        <w:rPr>
          <w:rFonts w:hint="eastAsia" w:ascii="宋体" w:hAnsi="宋体" w:cs="楷体"/>
          <w:b/>
          <w:color w:val="auto"/>
          <w:sz w:val="24"/>
          <w:szCs w:val="24"/>
          <w:highlight w:val="none"/>
        </w:rPr>
        <w:t xml:space="preserve">评标流程和评标标准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采用综合评分法。分资格审查、商务技术标、价格标、三部分评审，总分值为100分，加分和减分因素除外。</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首先由评标委员会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结果按评审后得分由高到低顺序排列。得分相同的，按投标报价由低到高顺序排列。得分且投标报价相同的由采购人代表现场抽签确定。投标文件满足招标文件全部实质性要求，且按照评审因素的量化指标评审得分</w:t>
      </w:r>
      <w:r>
        <w:rPr>
          <w:rFonts w:hint="eastAsia" w:ascii="宋体" w:hAnsi="宋体"/>
          <w:color w:val="auto"/>
          <w:sz w:val="24"/>
          <w:szCs w:val="24"/>
          <w:highlight w:val="none"/>
          <w:lang w:val="en-US" w:eastAsia="zh-CN"/>
        </w:rPr>
        <w:t xml:space="preserve">第一</w:t>
      </w:r>
      <w:r>
        <w:rPr>
          <w:rFonts w:hint="eastAsia" w:ascii="宋体" w:hAnsi="宋体"/>
          <w:color w:val="auto"/>
          <w:sz w:val="24"/>
          <w:szCs w:val="24"/>
          <w:highlight w:val="none"/>
        </w:rPr>
        <w:t xml:space="preserve">名</w:t>
      </w:r>
      <w:r>
        <w:rPr>
          <w:rFonts w:hint="eastAsia" w:ascii="宋体" w:hAnsi="宋体"/>
          <w:color w:val="auto"/>
          <w:sz w:val="24"/>
          <w:szCs w:val="24"/>
          <w:highlight w:val="none"/>
        </w:rPr>
        <w:t xml:space="preserve">的投标人为中标候选人。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评委在认真审阅投标文件的基础上，根据各投标文件的响应程度独立评判，不得统一打分。</w:t>
      </w:r>
      <w:r/>
    </w:p>
    <w:p>
      <w:pPr>
        <w:ind w:firstLine="482"/>
        <w:spacing w:line="460" w:lineRule="exact"/>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（一）采购人（代表）会对投标人资格进行审查。</w:t>
      </w:r>
      <w:r/>
    </w:p>
    <w:p>
      <w:pPr>
        <w:ind w:firstLine="480"/>
        <w:spacing w:line="460" w:lineRule="exact"/>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投标人资格不合格的，其投标文件判定为无效投标文件。</w:t>
      </w:r>
      <w:r/>
    </w:p>
    <w:p>
      <w:pPr>
        <w:ind w:firstLine="482"/>
        <w:spacing w:line="460" w:lineRule="exact"/>
        <w:rPr>
          <w:rFonts w:hint="eastAsia" w:ascii="宋体" w:hAnsi="宋体" w:cs="楷体"/>
          <w:b/>
          <w:color w:val="auto"/>
          <w:sz w:val="24"/>
          <w:szCs w:val="24"/>
          <w:highlight w:val="none"/>
        </w:rPr>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52"/>
          <w:cols w:num="1" w:sep="0" w:space="1701" w:equalWidth="1"/>
          <w:docGrid w:linePitch="360"/>
        </w:sectPr>
      </w:pPr>
      <w:r>
        <w:rPr>
          <w:rFonts w:hint="eastAsia" w:ascii="宋体" w:hAnsi="宋体" w:cs="楷体"/>
          <w:b/>
          <w:color w:val="auto"/>
          <w:sz w:val="24"/>
          <w:szCs w:val="24"/>
          <w:highlight w:val="none"/>
        </w:rPr>
      </w:r>
      <w:r/>
    </w:p>
    <w:p>
      <w:pPr>
        <w:ind w:firstLine="482"/>
        <w:spacing w:line="460" w:lineRule="exact"/>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（二）评标委员会对符合资格投标人的投标文件进行符合性审查。</w:t>
      </w:r>
      <w:r/>
    </w:p>
    <w:p>
      <w:pPr>
        <w:ind w:firstLine="480"/>
        <w:spacing w:line="460" w:lineRule="exact"/>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未通过符合性审查的投标文件，将被判为不满足招标文件实质性要求。</w:t>
      </w:r>
      <w:r/>
    </w:p>
    <w:p>
      <w:pPr>
        <w:ind w:firstLine="482"/>
        <w:spacing w:line="460" w:lineRule="exact"/>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（三）评标程序及评标标准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资格性审查必要合格条件标准如下：</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1.投标人符合《政府采购法》第二十二条规定条件的声明函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2.法人或者其他组织的营业执照等证明文件</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3.法人授权书</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4.提供2024年度由会计师事务所（或者审计机构）出具的财务报告或投标截止时间前三个月（不含投标截止时间当月）任意一个月的银行资信证明；（成立不满一年无需提供）</w:t>
      </w:r>
      <w:bookmarkStart w:id="222" w:name="_GoBack"/>
      <w:r/>
      <w:bookmarkEnd w:id="222"/>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w:t>
      </w:r>
      <w:r>
        <w:rPr>
          <w:rFonts w:hint="eastAsia" w:ascii="宋体" w:hAnsi="宋体" w:cs="宋体"/>
          <w:color w:val="auto"/>
          <w:sz w:val="24"/>
          <w:szCs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6.具备履行合同所必需的设备和专业技术能力的书面声明</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7.参加政府采购活动前 3 年内在经营活动中没有重大违法记录的书面声明</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cs="宋体"/>
          <w:color w:val="auto"/>
          <w:sz w:val="24"/>
          <w:szCs w:val="21"/>
          <w:highlight w:val="none"/>
        </w:rPr>
        <w:t xml:space="preserve">投标人依据招标文件要求，提交的其他材料。</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供应商资格不合格的，其响应文件判定为无效投标文件。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商务技术标及价格标评审标准（100分）</w:t>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本项目总分值为100分，其中商务技术部分</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0分，价格部分</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0分；投标得分=商务技术部分得分+价格部分得分。</w:t>
      </w:r>
      <w:bookmarkStart w:id="193" w:name="_Toc12009"/>
      <w:r/>
      <w:bookmarkEnd w:id="193"/>
      <w:r/>
      <w:bookmarkStart w:id="194" w:name="_Toc184635088"/>
      <w:r/>
      <w:bookmarkEnd w:id="194"/>
      <w:r/>
      <w:bookmarkStart w:id="195" w:name="_Toc474229428"/>
      <w:r/>
      <w:bookmarkEnd w:id="195"/>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1.商务技术标部分（</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0分）</w:t>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商务技术标评审时，评标委员会分别对每个有效供应商的标书进行评价、打分。商务技术分按算术平均值计算。分值四舍五入，保留小数点后两位。</w:t>
      </w:r>
      <w:r/>
    </w:p>
    <w:tbl>
      <w:tblPr>
        <w:tblStyle w:val="879"/>
        <w:tblW w:w="5057" w:type="pct"/>
        <w:tblInd w:w="-108" w:type="dxa"/>
        <w:tblLayout w:type="autofit"/>
        <w:tblCellMar>
          <w:left w:w="108" w:type="dxa"/>
          <w:top w:w="0" w:type="dxa"/>
          <w:right w:w="108" w:type="dxa"/>
          <w:bottom w:w="0" w:type="dxa"/>
        </w:tblCellMar>
        <w:tblLook w:val="04A0" w:firstRow="1" w:lastRow="0" w:firstColumn="1" w:lastColumn="0" w:noHBand="0" w:noVBand="1"/>
      </w:tblPr>
      <w:tblGrid>
        <w:gridCol w:w="793"/>
        <w:gridCol w:w="793"/>
        <w:gridCol w:w="6555"/>
        <w:gridCol w:w="1133"/>
      </w:tblGrid>
      <w:tr>
        <w:trPr>
          <w:trHeight w:val="288"/>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b/>
                <w:bCs/>
                <w:color w:val="auto"/>
                <w:sz w:val="22"/>
                <w:highlight w:val="none"/>
                <w:lang w:val="en-US" w:eastAsia="zh-CN" w:bidi="ar"/>
              </w:rPr>
            </w:pPr>
            <w:r>
              <w:rPr>
                <w:rFonts w:hint="eastAsia" w:ascii="宋体" w:hAnsi="宋体" w:cs="宋体"/>
                <w:b/>
                <w:bCs/>
                <w:color w:val="auto"/>
                <w:sz w:val="22"/>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eastAsia="宋体" w:cs="宋体"/>
                <w:b/>
                <w:bCs/>
                <w:i w:val="0"/>
                <w:iCs w:val="0"/>
                <w:color w:val="auto"/>
                <w:sz w:val="24"/>
                <w:szCs w:val="24"/>
                <w:highlight w:val="none"/>
                <w:u w:val="none"/>
                <w:lang w:val="en-US" w:eastAsia="zh-CN" w:bidi="ar"/>
              </w:rPr>
              <w:t xml:space="preserve">评审标准</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widowControl/>
              <w:rPr>
                <w:rFonts w:hint="default"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trHeight w:val="402"/>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技术参数响应</w:t>
            </w:r>
            <w:r/>
          </w:p>
        </w:tc>
        <w:tc>
          <w:tcPr>
            <w:tcBorders>
              <w:top w:val="none" w:color="000000" w:sz="4" w:space="0"/>
              <w:left w:val="none" w:color="000000" w:sz="4" w:space="0"/>
              <w:bottom w:val="single" w:color="000000" w:sz="4" w:space="0"/>
              <w:right w:val="single" w:color="000000" w:sz="4" w:space="0"/>
            </w:tcBorders>
            <w:tcW w:w="6556" w:type="dxa"/>
            <w:vAlign w:val="center"/>
            <w:textDirection w:val="lrTb"/>
            <w:noWrap w:val="false"/>
          </w:tcPr>
          <w:p>
            <w:pPr>
              <w:widowControl/>
              <w:rPr>
                <w:rFonts w:hint="eastAsia" w:ascii="宋体" w:hAnsi="宋体" w:cs="宋体"/>
                <w:color w:val="auto"/>
                <w:sz w:val="22"/>
                <w:highlight w:val="none"/>
              </w:rPr>
            </w:pPr>
            <w:r>
              <w:rPr>
                <w:rStyle w:val="1177"/>
                <w:color w:val="auto"/>
                <w:highlight w:val="none"/>
                <w:lang w:bidi="ar"/>
              </w:rPr>
              <w:t xml:space="preserve">供应商所投产品完全符合“第四章采购需求”中的</w:t>
            </w:r>
            <w:r>
              <w:rPr>
                <w:rStyle w:val="1177"/>
                <w:rFonts w:hint="eastAsia" w:eastAsia="宋体"/>
                <w:color w:val="auto"/>
                <w:highlight w:val="none"/>
                <w:lang w:val="en-US" w:eastAsia="zh-CN" w:bidi="ar"/>
              </w:rPr>
              <w:t xml:space="preserve">设备</w:t>
            </w:r>
            <w:r>
              <w:rPr>
                <w:rStyle w:val="1177"/>
                <w:color w:val="auto"/>
                <w:highlight w:val="none"/>
                <w:lang w:bidi="ar"/>
              </w:rPr>
              <w:t xml:space="preserve">参数要求的，得满分，</w:t>
            </w:r>
            <w:r>
              <w:rPr>
                <w:rStyle w:val="1177"/>
                <w:rFonts w:hint="eastAsia"/>
                <w:color w:val="auto"/>
                <w:highlight w:val="none"/>
                <w:lang w:bidi="ar"/>
              </w:rPr>
              <w:t xml:space="preserve">标“★”参数为关键性参数，不接受负偏离，不能满足视为未实质性响应，作无效标处理</w:t>
            </w:r>
            <w:r>
              <w:rPr>
                <w:rStyle w:val="1177"/>
                <w:rFonts w:hint="eastAsia" w:eastAsia="宋体"/>
                <w:color w:val="auto"/>
                <w:highlight w:val="none"/>
                <w:lang w:eastAsia="zh-CN" w:bidi="ar"/>
              </w:rPr>
              <w:t xml:space="preserve">，</w:t>
            </w:r>
            <w:r>
              <w:rPr>
                <w:rStyle w:val="1177"/>
                <w:color w:val="auto"/>
                <w:highlight w:val="none"/>
                <w:lang w:bidi="ar"/>
              </w:rPr>
              <w:t xml:space="preserve">标</w:t>
            </w:r>
            <w:r>
              <w:rPr>
                <w:rFonts w:hint="eastAsia" w:ascii="仿宋" w:hAnsi="仿宋" w:eastAsia="仿宋"/>
                <w:color w:val="auto"/>
                <w:sz w:val="24"/>
                <w:szCs w:val="24"/>
                <w:highlight w:val="none"/>
              </w:rPr>
              <w:t xml:space="preserve">▲</w:t>
            </w:r>
            <w:r>
              <w:rPr>
                <w:rStyle w:val="1177"/>
                <w:color w:val="auto"/>
                <w:highlight w:val="none"/>
                <w:lang w:bidi="ar"/>
              </w:rPr>
              <w:t xml:space="preserve">项为重要技术指标，不满足或无法按照要求</w:t>
            </w:r>
            <w:r>
              <w:rPr>
                <w:rFonts w:hint="eastAsia" w:ascii="宋体" w:hAnsi="宋体" w:cs="宋体"/>
                <w:color w:val="auto"/>
                <w:sz w:val="22"/>
                <w:highlight w:val="none"/>
                <w:lang w:bidi="ar"/>
              </w:rPr>
              <w:t xml:space="preserve">提供</w:t>
            </w:r>
            <w:r>
              <w:rPr>
                <w:rStyle w:val="1177"/>
                <w:color w:val="auto"/>
                <w:highlight w:val="none"/>
                <w:lang w:bidi="ar"/>
              </w:rPr>
              <w:t xml:space="preserve">证明文件的每项扣2分</w:t>
            </w:r>
            <w:r>
              <w:rPr>
                <w:rFonts w:hint="eastAsia" w:ascii="宋体" w:hAnsi="宋体" w:cs="宋体"/>
                <w:color w:val="auto"/>
                <w:sz w:val="22"/>
                <w:highlight w:val="none"/>
                <w:lang w:bidi="ar"/>
              </w:rPr>
              <w:t xml:space="preserve">；其它技术指标项提供技术偏离表，负偏离每项扣1分；扣完为止。</w:t>
            </w:r>
            <w:r>
              <w:rPr>
                <w:rStyle w:val="1177"/>
                <w:color w:val="auto"/>
                <w:highlight w:val="none"/>
                <w:lang w:bidi="ar"/>
              </w:rPr>
              <w:t xml:space="preserve">本项内容不清楚或不清晰的，造成无法评标或部分影响评标的，视为负偏离。</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jc w:val="center"/>
              <w:widowControl/>
              <w:rPr>
                <w:rStyle w:val="1177"/>
                <w:color w:val="auto"/>
                <w:highlight w:val="none"/>
                <w:lang w:bidi="ar"/>
              </w:rPr>
            </w:pPr>
            <w:r>
              <w:rPr>
                <w:rFonts w:hint="eastAsia" w:ascii="宋体" w:hAnsi="宋体" w:cs="宋体"/>
                <w:color w:val="auto"/>
                <w:sz w:val="22"/>
                <w:highlight w:val="none"/>
                <w:lang w:bidi="ar"/>
              </w:rPr>
              <w:t xml:space="preserve">3</w:t>
            </w:r>
            <w:r>
              <w:rPr>
                <w:rFonts w:hint="eastAsia" w:ascii="宋体" w:hAnsi="宋体" w:cs="宋体"/>
                <w:color w:val="auto"/>
                <w:sz w:val="22"/>
                <w:highlight w:val="none"/>
                <w:lang w:val="en-US" w:eastAsia="zh-CN" w:bidi="ar"/>
              </w:rPr>
              <w:t xml:space="preserve">0</w:t>
            </w:r>
            <w:r>
              <w:rPr>
                <w:rFonts w:hint="eastAsia" w:ascii="宋体" w:hAnsi="宋体" w:cs="宋体"/>
                <w:color w:val="auto"/>
                <w:sz w:val="22"/>
                <w:highlight w:val="none"/>
                <w:lang w:bidi="ar"/>
              </w:rPr>
              <w:t xml:space="preserve">分</w:t>
            </w:r>
            <w:r/>
          </w:p>
        </w:tc>
      </w:tr>
      <w:tr>
        <w:trPr>
          <w:trHeight w:val="2459"/>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投标供应商实力</w:t>
            </w:r>
            <w:r/>
          </w:p>
        </w:tc>
        <w:tc>
          <w:tcPr>
            <w:tcBorders>
              <w:top w:val="none" w:color="000000" w:sz="4" w:space="0"/>
              <w:left w:val="none" w:color="000000" w:sz="4" w:space="0"/>
              <w:bottom w:val="single" w:color="000000" w:sz="4" w:space="0"/>
              <w:right w:val="single" w:color="000000" w:sz="4" w:space="0"/>
            </w:tcBorders>
            <w:tcW w:w="6556" w:type="dxa"/>
            <w:vAlign w:val="center"/>
            <w:textDirection w:val="lrTb"/>
            <w:noWrap w:val="false"/>
          </w:tcPr>
          <w:p>
            <w:pPr>
              <w:widowControl/>
              <w:rPr>
                <w:rFonts w:hint="default"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1</w:t>
            </w:r>
            <w:r>
              <w:rPr>
                <w:rFonts w:hint="eastAsia" w:ascii="宋体" w:hAnsi="宋体" w:cs="宋体"/>
                <w:color w:val="auto"/>
                <w:sz w:val="22"/>
                <w:highlight w:val="none"/>
                <w:lang w:bidi="ar"/>
              </w:rPr>
              <w:t xml:space="preserve">、供应商具有</w:t>
            </w:r>
            <w:r>
              <w:rPr>
                <w:rFonts w:hint="eastAsia" w:ascii="宋体" w:hAnsi="宋体" w:cs="宋体"/>
                <w:color w:val="auto"/>
                <w:sz w:val="22"/>
                <w:highlight w:val="none"/>
                <w:lang w:val="en-US" w:eastAsia="zh-CN" w:bidi="ar"/>
              </w:rPr>
              <w:t xml:space="preserve">ISO9001质量管理体系认证证书、ISO20000信息技术服务管理体系认证证书、ISO27001信息安全管理体系认证证书，全部具备得3分，</w:t>
            </w:r>
            <w:r>
              <w:rPr>
                <w:rFonts w:hint="eastAsia" w:ascii="宋体" w:hAnsi="宋体" w:eastAsia="宋体" w:cs="宋体"/>
                <w:color w:val="auto"/>
                <w:sz w:val="22"/>
                <w:highlight w:val="none"/>
                <w:lang w:val="en-US" w:eastAsia="zh-CN" w:bidi="ar"/>
              </w:rPr>
              <w:t xml:space="preserve">没有或其他不得分。</w:t>
            </w:r>
            <w:r/>
          </w:p>
          <w:p>
            <w:pPr>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供应商具有信息化工程与技术服务能力评价</w:t>
            </w:r>
            <w:r>
              <w:rPr>
                <w:rFonts w:hint="eastAsia" w:ascii="宋体" w:hAnsi="宋体" w:cs="宋体"/>
                <w:color w:val="auto"/>
                <w:sz w:val="22"/>
                <w:highlight w:val="none"/>
                <w:lang w:val="en-US" w:eastAsia="zh-CN" w:bidi="ar"/>
              </w:rPr>
              <w:t xml:space="preserve">证书，</w:t>
            </w:r>
            <w:r>
              <w:rPr>
                <w:rFonts w:hint="eastAsia" w:ascii="宋体" w:hAnsi="宋体" w:cs="宋体"/>
                <w:color w:val="auto"/>
                <w:sz w:val="22"/>
                <w:highlight w:val="none"/>
                <w:lang w:bidi="ar"/>
              </w:rPr>
              <w:t xml:space="preserve">卓越级（CNIETS-E）证书得</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一级及以下得1分，</w:t>
            </w:r>
            <w:r>
              <w:rPr>
                <w:rFonts w:hint="eastAsia" w:ascii="宋体" w:hAnsi="宋体" w:cs="宋体"/>
                <w:color w:val="auto"/>
                <w:sz w:val="22"/>
                <w:highlight w:val="none"/>
                <w:lang w:bidi="ar"/>
              </w:rPr>
              <w:t xml:space="preserve">没有不得分。</w:t>
            </w:r>
            <w:r/>
          </w:p>
          <w:p>
            <w:pPr>
              <w:widowControl/>
              <w:rPr>
                <w:rFonts w:hint="eastAsia" w:ascii="宋体" w:hAnsi="宋体" w:eastAsia="宋体" w:cs="宋体"/>
                <w:b/>
                <w:bCs/>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en-US" w:eastAsia="zh-CN" w:bidi="ar"/>
              </w:rPr>
              <w:t xml:space="preserve">具有信息系统建设和服务能力等级CS5级证书的得3分，CS4级</w:t>
            </w:r>
            <w:r>
              <w:rPr>
                <w:rFonts w:hint="eastAsia" w:ascii="宋体" w:hAnsi="宋体" w:cs="宋体"/>
                <w:color w:val="auto"/>
                <w:sz w:val="22"/>
                <w:highlight w:val="none"/>
                <w:lang w:val="en-US" w:eastAsia="zh-CN" w:bidi="ar"/>
              </w:rPr>
              <w:t xml:space="preserve">及以下</w:t>
            </w:r>
            <w:r>
              <w:rPr>
                <w:rFonts w:hint="eastAsia" w:ascii="宋体" w:hAnsi="宋体" w:eastAsia="宋体" w:cs="宋体"/>
                <w:color w:val="auto"/>
                <w:sz w:val="22"/>
                <w:highlight w:val="none"/>
                <w:lang w:val="en-US" w:eastAsia="zh-CN" w:bidi="ar"/>
              </w:rPr>
              <w:t xml:space="preserve">得1分，</w:t>
            </w:r>
            <w:r>
              <w:rPr>
                <w:rFonts w:hint="eastAsia" w:ascii="宋体" w:hAnsi="宋体" w:cs="宋体"/>
                <w:color w:val="auto"/>
                <w:sz w:val="22"/>
                <w:highlight w:val="none"/>
                <w:lang w:bidi="ar"/>
              </w:rPr>
              <w:t xml:space="preserve">没有不得分。</w:t>
            </w:r>
            <w:r/>
          </w:p>
          <w:p>
            <w:pPr>
              <w:widowControl/>
              <w:rPr>
                <w:rFonts w:hint="default"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en-US" w:eastAsia="zh-CN" w:bidi="ar"/>
              </w:rPr>
              <w:t xml:space="preserve">具有中国质量认证中心CQC体系认证服务等级一级，提供中国质量认证中心官网查询截图加盖投标人公章，提供得3分，没有不得分。</w:t>
            </w:r>
            <w:r/>
          </w:p>
          <w:p>
            <w:pP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（以上相关证书均需在有效期内，提供证书扫描件</w:t>
            </w:r>
            <w:r>
              <w:rPr>
                <w:rFonts w:hint="eastAsia" w:ascii="宋体" w:hAnsi="宋体" w:cs="宋体"/>
                <w:color w:val="auto"/>
                <w:sz w:val="22"/>
                <w:highlight w:val="none"/>
                <w:lang w:val="en-US" w:eastAsia="zh-CN" w:bidi="ar"/>
              </w:rPr>
              <w:t xml:space="preserve">或官网截图并</w:t>
            </w:r>
            <w:r>
              <w:rPr>
                <w:rFonts w:hint="eastAsia" w:ascii="宋体" w:hAnsi="宋体" w:cs="宋体"/>
                <w:color w:val="auto"/>
                <w:sz w:val="22"/>
                <w:highlight w:val="none"/>
                <w:lang w:bidi="ar"/>
              </w:rPr>
              <w:t xml:space="preserve">加盖投标人公章。）</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val="en-US" w:eastAsia="zh-CN" w:bidi="ar"/>
              </w:rPr>
              <w:t xml:space="preserve">12</w:t>
            </w:r>
            <w:r>
              <w:rPr>
                <w:rFonts w:hint="eastAsia" w:ascii="宋体" w:hAnsi="宋体" w:cs="宋体"/>
                <w:color w:val="auto"/>
                <w:sz w:val="22"/>
                <w:highlight w:val="none"/>
                <w:lang w:bidi="ar"/>
              </w:rPr>
              <w:t xml:space="preserve">分</w:t>
            </w:r>
            <w:r/>
          </w:p>
        </w:tc>
      </w:tr>
      <w:tr>
        <w:trPr>
          <w:trHeight w:val="4662"/>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技术团队</w:t>
            </w:r>
            <w:r/>
          </w:p>
        </w:tc>
        <w:tc>
          <w:tcPr>
            <w:tcBorders>
              <w:top w:val="none" w:color="000000" w:sz="4" w:space="0"/>
              <w:left w:val="none" w:color="000000" w:sz="4" w:space="0"/>
              <w:bottom w:val="single" w:color="000000" w:sz="4" w:space="0"/>
              <w:right w:val="single" w:color="000000" w:sz="4" w:space="0"/>
            </w:tcBorders>
            <w:tcW w:w="6556" w:type="dxa"/>
            <w:vAlign w:val="center"/>
            <w:textDirection w:val="lrTb"/>
            <w:noWrap w:val="false"/>
          </w:tcPr>
          <w:p>
            <w:pPr>
              <w:widowControl/>
              <w:rPr>
                <w:rFonts w:hint="default" w:ascii="宋体" w:hAnsi="宋体" w:cs="宋体"/>
                <w:color w:val="auto"/>
                <w:sz w:val="22"/>
                <w:highlight w:val="none"/>
                <w:lang w:val="en-US" w:bidi="ar"/>
              </w:rPr>
            </w:pPr>
            <w:r>
              <w:rPr>
                <w:rFonts w:hint="eastAsia" w:ascii="宋体" w:hAnsi="宋体" w:cs="宋体"/>
                <w:color w:val="auto"/>
                <w:sz w:val="22"/>
                <w:highlight w:val="none"/>
                <w:lang w:bidi="ar"/>
              </w:rPr>
              <w:t xml:space="preserve">1</w:t>
            </w:r>
            <w:r>
              <w:rPr>
                <w:rStyle w:val="1177"/>
                <w:color w:val="auto"/>
                <w:highlight w:val="none"/>
                <w:lang w:bidi="ar"/>
              </w:rPr>
              <w:t xml:space="preserve">、供应商拟派至本项目的项目负责人</w:t>
            </w:r>
            <w:r>
              <w:rPr>
                <w:rStyle w:val="1177"/>
                <w:rFonts w:eastAsia="宋体"/>
                <w:color w:val="auto"/>
                <w:highlight w:val="none"/>
                <w:lang w:eastAsia="zh-CN" w:bidi="ar"/>
              </w:rPr>
              <w:t xml:space="preserve">（</w:t>
            </w:r>
            <w:r>
              <w:rPr>
                <w:rStyle w:val="1177"/>
                <w:rFonts w:hint="eastAsia" w:eastAsia="宋体"/>
                <w:color w:val="auto"/>
                <w:highlight w:val="none"/>
                <w:lang w:val="en-US" w:eastAsia="zh-CN" w:bidi="ar"/>
              </w:rPr>
              <w:t xml:space="preserve">1人</w:t>
            </w:r>
            <w:r>
              <w:rPr>
                <w:rStyle w:val="1177"/>
                <w:rFonts w:eastAsia="宋体"/>
                <w:color w:val="auto"/>
                <w:highlight w:val="none"/>
                <w:lang w:eastAsia="zh-CN" w:bidi="ar"/>
              </w:rPr>
              <w:t xml:space="preserve">）</w:t>
            </w:r>
            <w:r>
              <w:rPr>
                <w:rStyle w:val="1177"/>
                <w:color w:val="auto"/>
                <w:highlight w:val="none"/>
                <w:lang w:bidi="ar"/>
              </w:rPr>
              <w:t xml:space="preserve">具有高级信息系统项目管理师证书</w:t>
            </w:r>
            <w:r>
              <w:rPr>
                <w:rStyle w:val="1177"/>
                <w:color w:val="auto"/>
                <w:highlight w:val="none"/>
                <w:lang w:eastAsia="zh-CN" w:bidi="ar"/>
              </w:rPr>
              <w:t xml:space="preserve">、</w:t>
            </w:r>
            <w:r>
              <w:rPr>
                <w:rStyle w:val="1177"/>
                <w:color w:val="auto"/>
                <w:highlight w:val="none"/>
                <w:lang w:bidi="ar"/>
              </w:rPr>
              <w:t xml:space="preserve">高级</w:t>
            </w:r>
            <w:r>
              <w:rPr>
                <w:rStyle w:val="1177"/>
                <w:rFonts w:hint="eastAsia"/>
                <w:color w:val="auto"/>
                <w:highlight w:val="none"/>
                <w:lang w:val="en-US" w:eastAsia="zh-CN" w:bidi="ar"/>
              </w:rPr>
              <w:t xml:space="preserve">工程师数字经济（</w:t>
            </w:r>
            <w:r>
              <w:rPr>
                <w:rStyle w:val="1177"/>
                <w:color w:val="auto"/>
                <w:highlight w:val="none"/>
                <w:lang w:bidi="ar"/>
              </w:rPr>
              <w:t xml:space="preserve">电子信息</w:t>
            </w:r>
            <w:r>
              <w:rPr>
                <w:rStyle w:val="1177"/>
                <w:color w:val="auto"/>
                <w:highlight w:val="none"/>
                <w:lang w:eastAsia="zh-CN" w:bidi="ar"/>
              </w:rPr>
              <w:t xml:space="preserve">）</w:t>
            </w:r>
            <w:r>
              <w:rPr>
                <w:rStyle w:val="1177"/>
                <w:rFonts w:hint="eastAsia"/>
                <w:color w:val="auto"/>
                <w:highlight w:val="none"/>
                <w:lang w:val="en-US" w:eastAsia="zh-CN" w:bidi="ar"/>
              </w:rPr>
              <w:t xml:space="preserve">信息与通信专业</w:t>
            </w:r>
            <w:r>
              <w:rPr>
                <w:rStyle w:val="1177"/>
                <w:color w:val="auto"/>
                <w:highlight w:val="none"/>
                <w:lang w:bidi="ar"/>
              </w:rPr>
              <w:t xml:space="preserve">证书</w:t>
            </w:r>
            <w:r>
              <w:rPr>
                <w:rStyle w:val="1177"/>
                <w:color w:val="auto"/>
                <w:highlight w:val="none"/>
                <w:lang w:eastAsia="zh-CN" w:bidi="ar"/>
              </w:rPr>
              <w:t xml:space="preserve">、</w:t>
            </w:r>
            <w:r>
              <w:rPr>
                <w:rStyle w:val="1177"/>
                <w:rFonts w:hint="eastAsia"/>
                <w:color w:val="auto"/>
                <w:highlight w:val="none"/>
                <w:lang w:val="en-US" w:eastAsia="zh-CN" w:bidi="ar"/>
              </w:rPr>
              <w:t xml:space="preserve">高级</w:t>
            </w:r>
            <w:r>
              <w:rPr>
                <w:rStyle w:val="1177"/>
                <w:color w:val="auto"/>
                <w:highlight w:val="none"/>
                <w:lang w:bidi="ar"/>
              </w:rPr>
              <w:t xml:space="preserve">信息系统业务安全服务工程师证书</w:t>
            </w:r>
            <w:r>
              <w:rPr>
                <w:rStyle w:val="1177"/>
                <w:color w:val="auto"/>
                <w:highlight w:val="none"/>
                <w:lang w:eastAsia="zh-CN" w:bidi="ar"/>
              </w:rPr>
              <w:t xml:space="preserve">、</w:t>
            </w:r>
            <w:r>
              <w:rPr>
                <w:rStyle w:val="1177"/>
                <w:rFonts w:hint="eastAsia"/>
                <w:color w:val="auto"/>
                <w:highlight w:val="none"/>
                <w:lang w:bidi="ar"/>
              </w:rPr>
              <w:t xml:space="preserve">信息安全保障人员(应急服务)</w:t>
            </w:r>
            <w:r>
              <w:rPr>
                <w:rStyle w:val="1177"/>
                <w:color w:val="auto"/>
                <w:highlight w:val="none"/>
                <w:lang w:bidi="ar"/>
              </w:rPr>
              <w:t xml:space="preserve">证书</w:t>
            </w:r>
            <w:r>
              <w:rPr>
                <w:rStyle w:val="1177"/>
                <w:color w:val="auto"/>
                <w:highlight w:val="none"/>
                <w:lang w:eastAsia="zh-CN" w:bidi="ar"/>
              </w:rPr>
              <w:t xml:space="preserve">，</w:t>
            </w:r>
            <w:r>
              <w:rPr>
                <w:rStyle w:val="1177"/>
                <w:rFonts w:hint="eastAsia"/>
                <w:color w:val="auto"/>
                <w:highlight w:val="none"/>
                <w:lang w:val="en-US" w:eastAsia="zh-CN" w:bidi="ar"/>
              </w:rPr>
              <w:t xml:space="preserve">全部具备得6分，缺项不得分。</w:t>
            </w:r>
            <w:r/>
          </w:p>
          <w:p>
            <w:pP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2、供应商拟派至本项目的技术负责人</w:t>
            </w:r>
            <w:r>
              <w:rPr>
                <w:rStyle w:val="1177"/>
                <w:rFonts w:eastAsia="宋体"/>
                <w:color w:val="auto"/>
                <w:highlight w:val="none"/>
                <w:lang w:eastAsia="zh-CN" w:bidi="ar"/>
              </w:rPr>
              <w:t xml:space="preserve">（</w:t>
            </w:r>
            <w:r>
              <w:rPr>
                <w:rStyle w:val="1177"/>
                <w:rFonts w:hint="eastAsia" w:eastAsia="宋体"/>
                <w:color w:val="auto"/>
                <w:highlight w:val="none"/>
                <w:lang w:val="en-US" w:eastAsia="zh-CN" w:bidi="ar"/>
              </w:rPr>
              <w:t xml:space="preserve">1人</w:t>
            </w:r>
            <w:r>
              <w:rPr>
                <w:rStyle w:val="1177"/>
                <w:rFonts w:eastAsia="宋体"/>
                <w:color w:val="auto"/>
                <w:highlight w:val="none"/>
                <w:lang w:eastAsia="zh-CN" w:bidi="ar"/>
              </w:rPr>
              <w:t xml:space="preserve">）</w:t>
            </w:r>
            <w:r>
              <w:rPr>
                <w:rFonts w:hint="eastAsia" w:ascii="宋体" w:hAnsi="宋体" w:cs="宋体"/>
                <w:color w:val="auto"/>
                <w:sz w:val="22"/>
                <w:highlight w:val="none"/>
                <w:lang w:bidi="ar"/>
              </w:rPr>
              <w:t xml:space="preserve">具有高级</w:t>
            </w:r>
            <w:r>
              <w:rPr>
                <w:rFonts w:hint="eastAsia" w:ascii="宋体" w:hAnsi="宋体" w:cs="宋体"/>
                <w:color w:val="auto"/>
                <w:sz w:val="22"/>
                <w:highlight w:val="none"/>
                <w:lang w:val="en-US" w:eastAsia="zh-CN" w:bidi="ar"/>
              </w:rPr>
              <w:t xml:space="preserve">网络信息安全</w:t>
            </w:r>
            <w:r>
              <w:rPr>
                <w:rFonts w:hint="eastAsia" w:ascii="宋体" w:hAnsi="宋体" w:cs="宋体"/>
                <w:color w:val="auto"/>
                <w:sz w:val="22"/>
                <w:highlight w:val="none"/>
                <w:lang w:bidi="ar"/>
              </w:rPr>
              <w:t xml:space="preserve">工程师证书</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val="en-US" w:eastAsia="zh-CN" w:bidi="ar"/>
              </w:rPr>
              <w:t xml:space="preserve">高级智能化系统集成项目经理证书、信息技术应用创新服务经理证书、设备安装质量员证书，</w:t>
            </w:r>
            <w:r>
              <w:rPr>
                <w:rStyle w:val="1177"/>
                <w:rFonts w:hint="eastAsia"/>
                <w:color w:val="auto"/>
                <w:highlight w:val="none"/>
                <w:lang w:val="en-US" w:eastAsia="zh-CN" w:bidi="ar"/>
              </w:rPr>
              <w:t xml:space="preserve">全部具备得6分，缺项不得分。</w:t>
            </w:r>
            <w:r/>
          </w:p>
          <w:p>
            <w:pP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3、项目组其他成员具有</w:t>
            </w:r>
            <w:r>
              <w:rPr>
                <w:rFonts w:hint="eastAsia" w:ascii="宋体" w:hAnsi="宋体" w:cs="宋体"/>
                <w:color w:val="auto"/>
                <w:sz w:val="22"/>
                <w:highlight w:val="none"/>
                <w:lang w:val="en-US" w:eastAsia="zh-CN" w:bidi="ar"/>
              </w:rPr>
              <w:t xml:space="preserve">网络工程师证书、</w:t>
            </w:r>
            <w:r>
              <w:rPr>
                <w:rFonts w:hint="eastAsia" w:ascii="宋体" w:hAnsi="宋体" w:cs="宋体"/>
                <w:color w:val="auto"/>
                <w:sz w:val="22"/>
                <w:highlight w:val="none"/>
                <w:lang w:bidi="ar"/>
              </w:rPr>
              <w:t xml:space="preserve">IT服务工程师</w:t>
            </w:r>
            <w:r>
              <w:rPr>
                <w:rFonts w:hint="eastAsia" w:ascii="宋体" w:hAnsi="宋体" w:cs="宋体"/>
                <w:color w:val="auto"/>
                <w:sz w:val="22"/>
                <w:highlight w:val="none"/>
                <w:lang w:val="en-US" w:eastAsia="zh-CN" w:bidi="ar"/>
              </w:rPr>
              <w:t xml:space="preserve">证书</w:t>
            </w:r>
            <w:r>
              <w:rPr>
                <w:rFonts w:hint="eastAsia" w:ascii="宋体" w:hAnsi="宋体" w:cs="宋体"/>
                <w:color w:val="auto"/>
                <w:sz w:val="22"/>
                <w:highlight w:val="none"/>
                <w:lang w:bidi="ar"/>
              </w:rPr>
              <w:t xml:space="preserve">、高级弱电系统工程师、高级智能化系统工程师四个类型技术人员的，每提供一个类型技术人员资格证书复印件的得1分，最多得4分。同一人员具备多个证书的不重复计算。</w:t>
            </w:r>
            <w:r/>
          </w:p>
          <w:p>
            <w:pP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注：以上技术团队人员须提供有效期内证书及投标人近3个月内任意一个月为其缴纳社保的证明材料，提供证书扫描件，加盖公章。</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16分</w:t>
            </w:r>
            <w:r/>
          </w:p>
        </w:tc>
      </w:tr>
      <w:tr>
        <w:trPr>
          <w:trHeight w:val="1152"/>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供应商提供自202</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年1月1日以来</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val="en-US" w:eastAsia="zh-CN" w:bidi="ar"/>
              </w:rPr>
              <w:t xml:space="preserve">以中标通知书日期为准</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承担过与本项目类似的</w:t>
            </w:r>
            <w:r>
              <w:rPr>
                <w:rFonts w:hint="eastAsia" w:ascii="宋体" w:hAnsi="宋体" w:cs="宋体"/>
                <w:color w:val="auto"/>
                <w:sz w:val="22"/>
                <w:highlight w:val="none"/>
                <w:lang w:val="en-US" w:eastAsia="zh-CN" w:bidi="ar"/>
              </w:rPr>
              <w:t xml:space="preserve">电子政务网升级改造</w:t>
            </w:r>
            <w:r>
              <w:rPr>
                <w:rFonts w:hint="eastAsia" w:ascii="宋体" w:hAnsi="宋体" w:cs="宋体"/>
                <w:color w:val="auto"/>
                <w:sz w:val="22"/>
                <w:highlight w:val="none"/>
                <w:lang w:bidi="ar"/>
              </w:rPr>
              <w:t xml:space="preserve">业绩，每有一个业绩得2分，最高得4分。</w:t>
            </w:r>
            <w:r/>
          </w:p>
          <w:p>
            <w:pP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（提供业绩合同和中标通知书扫描件，并加盖供应商公章）</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4分</w:t>
            </w:r>
            <w:r/>
          </w:p>
        </w:tc>
      </w:tr>
      <w:tr>
        <w:trPr>
          <w:trHeight w:val="1642"/>
        </w:trPr>
        <w:tc>
          <w:tcPr>
            <w:tcBorders>
              <w:top w:val="non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5</w:t>
            </w:r>
            <w:r/>
          </w:p>
        </w:tc>
        <w:tc>
          <w:tcPr>
            <w:tcBorders>
              <w:top w:val="non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技术实施方案</w:t>
            </w:r>
            <w:r/>
          </w:p>
        </w:tc>
        <w:tc>
          <w:tcPr>
            <w:tcBorders>
              <w:top w:val="none" w:color="000000" w:sz="4" w:space="0"/>
              <w:left w:val="none" w:color="000000" w:sz="4" w:space="0"/>
              <w:bottom w:val="single" w:color="000000" w:sz="4" w:space="0"/>
              <w:right w:val="single" w:color="000000" w:sz="4" w:space="0"/>
            </w:tcBorders>
            <w:tcW w:w="6556" w:type="dxa"/>
            <w:vAlign w:val="center"/>
            <w:textDirection w:val="lrTb"/>
            <w:noWrap w:val="false"/>
          </w:tcPr>
          <w:p>
            <w:pP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充分调研现有通州区电子政务网网络情况，提供详细完整的现状分析、网络现状拓扑图，提供详细完整、切实可行的</w:t>
            </w:r>
            <w:r>
              <w:rPr>
                <w:rFonts w:hint="eastAsia" w:ascii="宋体" w:hAnsi="宋体" w:cs="宋体"/>
                <w:color w:val="auto"/>
                <w:sz w:val="22"/>
                <w:highlight w:val="none"/>
                <w:lang w:val="en-US" w:eastAsia="zh-CN"/>
              </w:rPr>
              <w:t xml:space="preserve">建设</w:t>
            </w:r>
            <w:r>
              <w:rPr>
                <w:rFonts w:hint="eastAsia" w:ascii="宋体" w:hAnsi="宋体" w:cs="宋体"/>
                <w:color w:val="auto"/>
                <w:sz w:val="22"/>
                <w:highlight w:val="none"/>
              </w:rPr>
              <w:t xml:space="preserve">方案</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方案</w:t>
            </w:r>
            <w:r>
              <w:rPr>
                <w:rFonts w:hint="eastAsia" w:ascii="宋体" w:hAnsi="宋体" w:cs="宋体"/>
                <w:color w:val="auto"/>
                <w:sz w:val="22"/>
                <w:highlight w:val="none"/>
                <w:lang w:eastAsia="zh-CN"/>
              </w:rPr>
              <w:t xml:space="preserve">描述完整、架构清晰、完全满足需求的得</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lang w:eastAsia="zh-CN"/>
              </w:rPr>
              <w:t xml:space="preserve">分；提供的方案现状描述较完整、架构较清晰、基本符合要求的，得</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eastAsia="zh-CN"/>
              </w:rPr>
              <w:t xml:space="preserve">分；提供的方案现状描述不完整、架构较清晰、基本符合要求的得</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eastAsia="zh-CN"/>
              </w:rPr>
              <w:t xml:space="preserve">分；完全不满足的得0分。</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6分</w:t>
            </w:r>
            <w:r/>
          </w:p>
        </w:tc>
      </w:tr>
      <w:tr>
        <w:trPr>
          <w:trHeight w:val="290"/>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eastAsia="宋体" w:cs="宋体"/>
                <w:color w:val="auto"/>
                <w:sz w:val="22"/>
                <w:highlight w:val="none"/>
                <w:lang w:val="en-US" w:eastAsia="zh-CN" w:bidi="ar"/>
              </w:rPr>
            </w:pPr>
            <w:r>
              <w:rPr>
                <w:rFonts w:hint="eastAsia" w:ascii="宋体" w:hAnsi="宋体" w:cs="宋体"/>
                <w:color w:val="auto"/>
                <w:sz w:val="22"/>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售后服务方案</w:t>
            </w:r>
            <w:r/>
          </w:p>
        </w:tc>
        <w:tc>
          <w:tcPr>
            <w:tcBorders>
              <w:top w:val="none" w:color="000000" w:sz="4" w:space="0"/>
              <w:left w:val="none" w:color="000000" w:sz="4" w:space="0"/>
              <w:bottom w:val="single" w:color="000000" w:sz="8" w:space="0"/>
              <w:right w:val="single" w:color="000000" w:sz="4" w:space="0"/>
            </w:tcBorders>
            <w:tcW w:w="6556"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2"/>
                <w:highlight w:val="none"/>
              </w:rPr>
              <w:t xml:space="preserve">售后服务方案内容明确符合要求、方案合理可行</w:t>
            </w:r>
            <w:r>
              <w:rPr>
                <w:rFonts w:hint="eastAsia" w:ascii="宋体" w:hAnsi="宋体" w:cs="宋体"/>
                <w:color w:val="auto"/>
                <w:sz w:val="22"/>
                <w:highlight w:val="none"/>
                <w:lang w:val="en-US" w:eastAsia="zh-CN"/>
              </w:rPr>
              <w:t xml:space="preserve">的</w:t>
            </w:r>
            <w:r>
              <w:rPr>
                <w:rFonts w:hint="eastAsia" w:ascii="宋体" w:hAnsi="宋体" w:cs="宋体"/>
                <w:color w:val="auto"/>
                <w:sz w:val="22"/>
                <w:highlight w:val="none"/>
              </w:rPr>
              <w:t xml:space="preserve">，得</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分；售后服务方案内容较为符合要求、方案基本合理可行</w:t>
            </w:r>
            <w:r>
              <w:rPr>
                <w:rFonts w:hint="eastAsia" w:ascii="宋体" w:hAnsi="宋体" w:cs="宋体"/>
                <w:color w:val="auto"/>
                <w:sz w:val="22"/>
                <w:highlight w:val="none"/>
                <w:lang w:val="en-US" w:eastAsia="zh-CN"/>
              </w:rPr>
              <w:t xml:space="preserve">的</w:t>
            </w:r>
            <w:r>
              <w:rPr>
                <w:rFonts w:hint="eastAsia" w:ascii="宋体" w:hAnsi="宋体" w:cs="宋体"/>
                <w:color w:val="auto"/>
                <w:sz w:val="22"/>
                <w:highlight w:val="none"/>
              </w:rPr>
              <w:t xml:space="preserve">，得1分，售后服务方案内容不明确的、可行性不合理的，不得分。</w:t>
            </w:r>
            <w:r/>
          </w:p>
        </w:tc>
        <w:tc>
          <w:tcPr>
            <w:tcBorders>
              <w:top w:val="none" w:color="000000" w:sz="4" w:space="0"/>
              <w:left w:val="none" w:color="000000" w:sz="4" w:space="0"/>
              <w:bottom w:val="single" w:color="000000" w:sz="8" w:space="0"/>
              <w:right w:val="single" w:color="000000" w:sz="4" w:space="0"/>
            </w:tcBorders>
            <w:tcW w:w="1133"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2分</w:t>
            </w:r>
            <w:r/>
          </w:p>
        </w:tc>
      </w:tr>
    </w:tbl>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供应商得分为评标小组成员评分的算术平均分,分值四舍五入保留小数点后两位。</w:t>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注：①请供应商对“评分标准表”中的所有打分项逐一响应并提供证明文件。 </w:t>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②请供应商制作响应文件的时保证图片、文字材料的完整、清晰可辨，任何原因导致评委看不清楚或无法查看，后果由供应商自负。</w:t>
      </w:r>
      <w:r/>
    </w:p>
    <w:p>
      <w:pPr>
        <w:ind w:firstLine="48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③上述投标文件中，证书或证明或报告必须提供扫描件（加盖投标人公章），如发现弄虚作假的，将按照本招标文件相关条款规定予以处理。</w:t>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w:t>
      </w:r>
      <w:r>
        <w:rPr>
          <w:rFonts w:hint="eastAsia" w:ascii="宋体" w:hAnsi="宋体" w:cs="宋体"/>
          <w:color w:val="auto"/>
          <w:sz w:val="24"/>
          <w:szCs w:val="24"/>
          <w:highlight w:val="none"/>
        </w:rPr>
        <w:t xml:space="preserve">关法律法规规定处理。</w:t>
      </w:r>
      <w:r/>
    </w:p>
    <w:p>
      <w:pPr>
        <w:pStyle w:val="1116"/>
        <w:ind w:firstLine="480"/>
        <w:rPr>
          <w:rFonts w:hint="eastAsia" w:cs="宋体"/>
          <w:color w:val="auto"/>
          <w:sz w:val="24"/>
          <w:szCs w:val="24"/>
          <w:highlight w:val="none"/>
        </w:rPr>
      </w:pPr>
      <w:r>
        <w:rPr>
          <w:rFonts w:hint="eastAsia" w:cs="宋体"/>
          <w:color w:val="auto"/>
          <w:sz w:val="24"/>
          <w:szCs w:val="24"/>
          <w:highlight w:val="none"/>
        </w:rPr>
        <w:t xml:space="preserve">2.价格标部分（</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0分）</w:t>
      </w:r>
      <w:r/>
    </w:p>
    <w:tbl>
      <w:tblPr>
        <w:tblStyle w:val="879"/>
        <w:tblW w:w="10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2142"/>
        <w:gridCol w:w="7304"/>
      </w:tblGrid>
      <w:tr>
        <w:trPr>
          <w:jc w:val="center"/>
        </w:trPr>
        <w:tc>
          <w:tcPr>
            <w:tcW w:w="1273"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条款</w:t>
            </w:r>
            <w:r/>
          </w:p>
        </w:tc>
        <w:tc>
          <w:tcPr>
            <w:tcW w:w="2142"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7304"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评审标准</w:t>
            </w:r>
            <w:r/>
          </w:p>
        </w:tc>
      </w:tr>
      <w:tr>
        <w:trPr>
          <w:jc w:val="center"/>
        </w:trPr>
        <w:tc>
          <w:tcPr>
            <w:tcW w:w="1273"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142"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W w:w="7304" w:type="dxa"/>
            <w:vAlign w:val="center"/>
            <w:textDirection w:val="lrTb"/>
            <w:noWrap/>
          </w:tcPr>
          <w:p>
            <w:pPr>
              <w:spacing w:line="360" w:lineRule="auto"/>
              <w:rPr>
                <w:rFonts w:hint="eastAsia" w:cs="宋体"/>
                <w:bCs/>
                <w:color w:val="auto"/>
                <w:szCs w:val="21"/>
                <w:highlight w:val="none"/>
              </w:rPr>
            </w:pPr>
            <w:r>
              <w:rPr>
                <w:rFonts w:hint="eastAsia" w:cs="宋体"/>
                <w:bCs/>
                <w:color w:val="auto"/>
                <w:szCs w:val="21"/>
                <w:highlight w:val="none"/>
              </w:rPr>
              <w:t xml:space="preserve">以满足招标文件要求的最低报价为基准价，得满分</w:t>
            </w:r>
            <w:r>
              <w:rPr>
                <w:rFonts w:hint="eastAsia" w:cs="宋体"/>
                <w:bCs/>
                <w:color w:val="auto"/>
                <w:szCs w:val="21"/>
                <w:highlight w:val="none"/>
                <w:lang w:val="en-US" w:eastAsia="zh-CN"/>
              </w:rPr>
              <w:t xml:space="preserve">3</w:t>
            </w:r>
            <w:r>
              <w:rPr>
                <w:rFonts w:hint="eastAsia" w:cs="宋体"/>
                <w:bCs/>
                <w:color w:val="auto"/>
                <w:szCs w:val="21"/>
                <w:highlight w:val="none"/>
              </w:rPr>
              <w:t xml:space="preserve">0分。</w:t>
            </w:r>
            <w:r/>
          </w:p>
          <w:p>
            <w:pPr>
              <w:spacing w:line="360" w:lineRule="auto"/>
              <w:rPr>
                <w:rFonts w:hint="eastAsia" w:cs="宋体"/>
                <w:bCs/>
                <w:color w:val="auto"/>
                <w:szCs w:val="21"/>
                <w:highlight w:val="none"/>
              </w:rPr>
            </w:pPr>
            <w:r>
              <w:rPr>
                <w:rFonts w:hint="eastAsia" w:cs="宋体"/>
                <w:bCs/>
                <w:color w:val="auto"/>
                <w:szCs w:val="21"/>
                <w:highlight w:val="none"/>
              </w:rPr>
              <w:t xml:space="preserve">其它报价得分＝（评标基准价/投标报价</w:t>
            </w:r>
            <w:r>
              <w:rPr>
                <w:rFonts w:hint="eastAsia" w:cs="宋体"/>
                <w:bCs/>
                <w:color w:val="auto"/>
                <w:szCs w:val="21"/>
                <w:highlight w:val="none"/>
              </w:rPr>
              <w:t xml:space="preserve">）*价格权重（</w:t>
            </w:r>
            <w:r>
              <w:rPr>
                <w:rFonts w:hint="eastAsia" w:cs="宋体"/>
                <w:bCs/>
                <w:color w:val="auto"/>
                <w:szCs w:val="21"/>
                <w:highlight w:val="none"/>
                <w:lang w:val="en-US" w:eastAsia="zh-CN"/>
              </w:rPr>
              <w:t xml:space="preserve">3</w:t>
            </w:r>
            <w:r>
              <w:rPr>
                <w:rFonts w:hint="eastAsia" w:cs="宋体"/>
                <w:bCs/>
                <w:color w:val="auto"/>
                <w:szCs w:val="21"/>
                <w:highlight w:val="none"/>
              </w:rPr>
              <w:t xml:space="preserve">0%）*100</w:t>
            </w:r>
            <w:r>
              <w:rPr>
                <w:rFonts w:hint="eastAsia" w:cs="宋体"/>
                <w:bCs/>
                <w:color w:val="auto"/>
                <w:szCs w:val="21"/>
                <w:highlight w:val="none"/>
              </w:rPr>
              <w:t xml:space="preserve">，保留两位小数。</w:t>
            </w:r>
            <w:r/>
          </w:p>
        </w:tc>
      </w:tr>
    </w:tbl>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1、小微型企业价格扣除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（1）本项目对小型和微型企业产品给予10%的扣除价格，用扣除后的价格参与评审。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（2）供应商需按照采购文件的要求提供相应的《小微企业声明函》。</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（3）企业标准请参照《关于印发中小企业划型标准规定的通知》（工信部联企业[2011]300号）文件规定自行填写。</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2、残疾人福利单位价格扣除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（1）本项目对残疾人福利性单位视同小型、微型企业，给予10%的价格扣除，用扣除后的价格参与评审。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（2）残疾人福利单位需按照采购文件的要求提供《残疾人福利性单位声明函》。</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（3）残疾人福利单位标准请参照《关于促进残疾人就业政府采购政策的通知》（财库〔2017〕141号）。</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3、监狱和戒毒企业价格扣除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（1）本项目对监狱和戒毒企业（简称监狱企业）视同小型、微型企业，给予10%的价格扣除，用扣除后的价格参与评审。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（3）监狱企业标准请参照《关于政府采购支持监狱企业发展有关问题的通知》（</w:t>
      </w:r>
      <w:r>
        <w:rPr>
          <w:rFonts w:ascii="Arial" w:hAnsi="Arial" w:cs="Arial"/>
          <w:color w:val="auto"/>
          <w:sz w:val="24"/>
          <w:szCs w:val="24"/>
          <w:highlight w:val="none"/>
        </w:rPr>
        <w:t xml:space="preserve">财库[2014]68号</w:t>
      </w:r>
      <w:r>
        <w:rPr>
          <w:rFonts w:hint="eastAsia" w:ascii="Arial" w:hAnsi="Arial" w:cs="Arial"/>
          <w:color w:val="auto"/>
          <w:sz w:val="24"/>
          <w:szCs w:val="24"/>
          <w:highlight w:val="none"/>
        </w:rPr>
        <w:t xml:space="preserve">）。</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4、残疾人福利单位、监狱企业属于小型、微型企业的，不重复享受政策。</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cs="Arial"/>
          <w:color w:val="auto"/>
          <w:sz w:val="24"/>
          <w:szCs w:val="24"/>
          <w:highlight w:val="none"/>
        </w:rPr>
        <w:t xml:space="preserve">4</w:t>
      </w:r>
      <w:r>
        <w:rPr>
          <w:rFonts w:hint="eastAsia" w:ascii="Arial" w:hAnsi="Arial" w:cs="Arial"/>
          <w:color w:val="auto"/>
          <w:sz w:val="24"/>
          <w:szCs w:val="24"/>
          <w:highlight w:val="none"/>
        </w:rPr>
        <w:t xml:space="preserve">%的价格扣除，用扣除后的价格参与评审。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6、联合体各方均为小型、微型企业（残疾人福利单位、监狱企业）的，联合体享受10%价格扣除，用扣除后的价格参与评审。</w:t>
      </w:r>
      <w:r/>
    </w:p>
    <w:p>
      <w:pPr>
        <w:jc w:val="center"/>
        <w:keepNext/>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br w:type="column"/>
      </w:r>
      <w:r>
        <w:rPr>
          <w:rFonts w:hint="eastAsia" w:ascii="黑体" w:eastAsia="黑体"/>
          <w:bCs/>
          <w:color w:val="auto"/>
          <w:sz w:val="44"/>
          <w:szCs w:val="28"/>
          <w:highlight w:val="none"/>
        </w:rPr>
        <w:t xml:space="preserve">第六章  投标</w:t>
      </w:r>
      <w:bookmarkEnd w:id="184"/>
      <w:r/>
      <w:bookmarkEnd w:id="185"/>
      <w:r/>
      <w:bookmarkEnd w:id="186"/>
      <w:r>
        <w:rPr>
          <w:rFonts w:hint="eastAsia" w:ascii="黑体" w:eastAsia="黑体"/>
          <w:bCs/>
          <w:color w:val="auto"/>
          <w:sz w:val="44"/>
          <w:szCs w:val="28"/>
          <w:highlight w:val="none"/>
        </w:rPr>
        <w:t xml:space="preserve">文件格式 </w:t>
      </w:r>
      <w:r/>
    </w:p>
    <w:p>
      <w:pPr>
        <w:jc w:val="center"/>
        <w:rPr>
          <w:rFonts w:hint="eastAsia" w:ascii="宋体" w:hAnsi="宋体"/>
          <w:b/>
          <w:color w:val="auto"/>
          <w:sz w:val="72"/>
          <w:szCs w:val="21"/>
          <w:highlight w:val="none"/>
        </w:rPr>
      </w:pPr>
      <w:r/>
      <w:bookmarkStart w:id="196" w:name="_Hlt26955039"/>
      <w:r/>
      <w:bookmarkEnd w:id="196"/>
      <w:r/>
      <w:bookmarkStart w:id="197" w:name="_Hlt26671244"/>
      <w:r/>
      <w:bookmarkEnd w:id="197"/>
      <w:r/>
      <w:bookmarkStart w:id="198" w:name="_Toc26554094"/>
      <w:r/>
      <w:bookmarkStart w:id="199" w:name="_Toc120614282"/>
      <w:r/>
      <w:bookmarkStart w:id="200"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响应文件组成</w:t>
      </w:r>
      <w:r/>
    </w:p>
    <w:p>
      <w:pPr>
        <w:ind w:firstLine="480"/>
        <w:spacing w:line="440" w:lineRule="exact"/>
        <w:rPr>
          <w:rFonts w:hint="eastAsia" w:ascii="宋体" w:hAnsi="宋体"/>
          <w:b/>
          <w:bCs/>
          <w:color w:val="auto"/>
          <w:sz w:val="32"/>
          <w:szCs w:val="32"/>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lang w:val="zh-CN"/>
        </w:rPr>
        <w:t xml:space="preserve">开标一览表</w:t>
      </w:r>
      <w:r/>
    </w:p>
    <w:p>
      <w:pPr>
        <w:ind w:firstLine="643"/>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资格审查材料</w:t>
      </w:r>
      <w:r/>
    </w:p>
    <w:p>
      <w:pPr>
        <w:ind w:firstLine="480"/>
        <w:spacing w:line="440" w:lineRule="exact"/>
        <w:rPr>
          <w:rFonts w:hint="eastAsia" w:ascii="宋体" w:hAnsi="宋体" w:cs="宋体"/>
          <w:color w:val="auto"/>
          <w:sz w:val="24"/>
          <w:szCs w:val="21"/>
          <w:highlight w:val="none"/>
        </w:rPr>
      </w:pPr>
      <w:r/>
      <w:bookmarkStart w:id="201" w:name="_Hlk194869143"/>
      <w:r>
        <w:rPr>
          <w:rFonts w:hint="eastAsia" w:ascii="宋体" w:hAnsi="宋体" w:cs="宋体"/>
          <w:color w:val="auto"/>
          <w:sz w:val="24"/>
          <w:szCs w:val="21"/>
          <w:highlight w:val="none"/>
        </w:rPr>
        <w:t xml:space="preserve">1.投标人符合《政府采购法》第二十二条规定条件的声明函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2.法人或者其他组织的营业执照等证明文件</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3.法人授权书</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4.提供2024年度由会计师事务所（或者审计机构）出具的财务报告或投标截止时间前三个月（不含投标截止时间当月）任意一个月的银行资信证明；（成立不满一年无需提供）；</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w:t>
      </w:r>
      <w:r>
        <w:rPr>
          <w:rFonts w:hint="eastAsia" w:ascii="宋体" w:hAnsi="宋体" w:cs="宋体"/>
          <w:color w:val="auto"/>
          <w:sz w:val="24"/>
          <w:szCs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6.具备履行合同所必需的设备和专业技术能力的书面声明</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7.参加政府采购活动前 3 年内在经营活动中没有重大违法记录的书面声明</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cs="宋体"/>
          <w:color w:val="auto"/>
          <w:sz w:val="24"/>
          <w:szCs w:val="21"/>
          <w:highlight w:val="none"/>
        </w:rPr>
        <w:t xml:space="preserve">投标人依据招标文件要求，提交的其他材料。</w:t>
      </w:r>
      <w:bookmarkEnd w:id="201"/>
      <w:r/>
    </w:p>
    <w:p>
      <w:pPr>
        <w:spacing w:line="440" w:lineRule="exact"/>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符合性条件材料</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1.投标响应函；</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2.投标分项报价表；</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3</w:t>
      </w:r>
      <w:r>
        <w:rPr>
          <w:rFonts w:ascii="宋体" w:hAnsi="宋体" w:cs="宋体"/>
          <w:color w:val="auto"/>
          <w:sz w:val="24"/>
          <w:szCs w:val="21"/>
          <w:highlight w:val="none"/>
        </w:rPr>
        <w:t xml:space="preserve">.技术要求响应及偏离表；</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4</w:t>
      </w:r>
      <w:r>
        <w:rPr>
          <w:rFonts w:ascii="宋体" w:hAnsi="宋体" w:cs="宋体"/>
          <w:color w:val="auto"/>
          <w:sz w:val="24"/>
          <w:szCs w:val="21"/>
          <w:highlight w:val="none"/>
        </w:rPr>
        <w:t xml:space="preserve">.商务要求响应及偏离表。</w:t>
      </w:r>
      <w:r/>
    </w:p>
    <w:p>
      <w:pPr>
        <w:ind w:firstLine="321"/>
        <w:spacing w:line="440" w:lineRule="exact"/>
        <w:rPr>
          <w:rFonts w:ascii="宋体" w:hAnsi="宋体"/>
          <w:b/>
          <w:bCs/>
          <w:color w:val="auto"/>
          <w:sz w:val="32"/>
          <w:szCs w:val="32"/>
          <w:highlight w:val="none"/>
          <w:lang w:val="zh-CN"/>
        </w:rPr>
      </w:pPr>
      <w:r>
        <w:rPr>
          <w:rFonts w:ascii="宋体" w:hAnsi="宋体"/>
          <w:b/>
          <w:bCs/>
          <w:color w:val="auto"/>
          <w:sz w:val="32"/>
          <w:szCs w:val="32"/>
          <w:highlight w:val="none"/>
          <w:lang w:val="zh-CN"/>
        </w:rPr>
        <w:t xml:space="preserve">报价折扣证明材料</w:t>
      </w:r>
      <w:r/>
    </w:p>
    <w:p>
      <w:pPr>
        <w:ind w:left="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ascii="宋体" w:hAnsi="宋体" w:cs="宋体"/>
          <w:color w:val="auto"/>
          <w:sz w:val="24"/>
          <w:szCs w:val="21"/>
          <w:highlight w:val="none"/>
        </w:rPr>
        <w:t xml:space="preserve">.中小企业声明函；</w:t>
      </w:r>
      <w:r/>
    </w:p>
    <w:p>
      <w:pPr>
        <w:ind w:left="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2.监狱企业证明函；</w:t>
      </w:r>
      <w:r/>
    </w:p>
    <w:p>
      <w:pPr>
        <w:ind w:left="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3.残疾人福利性单位声明函。</w:t>
      </w:r>
      <w:r/>
    </w:p>
    <w:p>
      <w:pPr>
        <w:ind w:left="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40" w:lineRule="exact"/>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rPr>
          <w:rFonts w:hint="eastAsia" w:ascii="宋体" w:hAnsi="宋体"/>
          <w:b/>
          <w:bCs/>
          <w:color w:val="auto"/>
          <w:sz w:val="24"/>
          <w:szCs w:val="21"/>
          <w:highlight w:val="none"/>
        </w:rPr>
        <w:t xml:space="preserve">格式附件如下：</w:t>
      </w:r>
      <w:r/>
    </w:p>
    <w:p>
      <w:pPr>
        <w:rPr>
          <w:rFonts w:hint="eastAsia"/>
          <w:color w:val="auto"/>
          <w:highlight w:val="none"/>
        </w:rPr>
      </w:pPr>
      <w:r>
        <w:rPr>
          <w:rFonts w:hint="eastAsia"/>
          <w:color w:val="auto"/>
          <w:highlight w:val="none"/>
        </w:rPr>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招标编号：                                   </w:t>
      </w:r>
      <w:r/>
    </w:p>
    <w:p>
      <w:pPr>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分包号</w:t>
      </w:r>
      <w:r>
        <w:rPr>
          <w:rFonts w:hint="eastAsia" w:ascii="宋体" w:hAnsi="宋体"/>
          <w:color w:val="auto"/>
          <w:sz w:val="24"/>
          <w:szCs w:val="24"/>
          <w:highlight w:val="none"/>
        </w:rPr>
        <w:t xml:space="preserve">：</w:t>
      </w:r>
      <w:r/>
    </w:p>
    <w:tbl>
      <w:tblPr>
        <w:tblStyle w:val="8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112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br w:type="column"/>
      </w: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640"/>
        <w:spacing w:line="440" w:lineRule="exact"/>
        <w:rPr>
          <w:rFonts w:ascii="宋体" w:hAnsi="宋体"/>
          <w:color w:val="auto"/>
          <w:sz w:val="24"/>
          <w:szCs w:val="21"/>
          <w:highlight w:val="none"/>
        </w:rPr>
      </w:pPr>
      <w:r>
        <w:rPr>
          <w:rFonts w:eastAsia="方正黑体_GBK"/>
          <w:color w:val="auto"/>
          <w:sz w:val="32"/>
          <w:szCs w:val="32"/>
          <w:highlight w:val="none"/>
        </w:rPr>
        <w:br w:type="page" w:clear="all"/>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法人或者其他组织的营业执照等证明文件</w:t>
      </w:r>
      <w:r/>
    </w:p>
    <w:p>
      <w:pPr>
        <w:pStyle w:val="1125"/>
        <w:jc w:val="center"/>
        <w:rPr>
          <w:rFonts w:hint="eastAsia" w:eastAsia="宋体"/>
          <w:color w:val="auto"/>
          <w:highlight w:val="none"/>
        </w:rPr>
      </w:pPr>
      <w:r>
        <w:rPr>
          <w:rFonts w:hint="eastAsia" w:ascii="宋体" w:hAnsi="宋体" w:eastAsia="宋体"/>
          <w:b/>
          <w:color w:val="auto"/>
          <w:sz w:val="30"/>
          <w:szCs w:val="30"/>
          <w:highlight w:val="none"/>
        </w:rPr>
        <w:t xml:space="preserve">（扫描件）</w:t>
      </w:r>
      <w:r/>
    </w:p>
    <w:p>
      <w:pPr>
        <w:pStyle w:val="112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法人授权书</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      日期：</w:t>
      </w:r>
      <w:bookmarkStart w:id="202" w:name="_Hlt26955070"/>
      <w:r/>
      <w:bookmarkEnd w:id="202"/>
      <w:r/>
      <w:bookmarkStart w:id="203" w:name="_格式3__银行出具的资信证明"/>
      <w:r/>
      <w:bookmarkEnd w:id="203"/>
      <w:r/>
      <w:bookmarkStart w:id="204" w:name="_Hlt26671380"/>
      <w:r/>
      <w:bookmarkEnd w:id="204"/>
      <w:r>
        <w:rPr>
          <w:rFonts w:hint="eastAsia"/>
          <w:color w:val="auto"/>
          <w:sz w:val="24"/>
          <w:szCs w:val="24"/>
          <w:highlight w:val="none"/>
          <w:u w:val="single"/>
        </w:rPr>
        <w:t xml:space="preserve">                                         </w:t>
      </w:r>
      <w:r/>
    </w:p>
    <w:p>
      <w:pPr>
        <w:ind w:firstLine="420"/>
        <w:rPr>
          <w:rFonts w:hint="eastAsia"/>
          <w:i/>
          <w:color w:val="auto"/>
          <w:sz w:val="24"/>
          <w:szCs w:val="24"/>
          <w:highlight w:val="none"/>
          <w:u w:val="single"/>
        </w:rPr>
      </w:pPr>
      <w:r>
        <w:rPr>
          <w:rFonts w:hint="eastAsia"/>
          <w:i/>
          <w:color w:val="auto"/>
          <w:sz w:val="24"/>
          <w:szCs w:val="24"/>
          <w:highlight w:val="none"/>
          <w:u w:val="single"/>
        </w:rPr>
      </w:r>
      <w:r/>
    </w:p>
    <w:p>
      <w:pPr>
        <w:rPr>
          <w:rFonts w:hint="eastAsia"/>
          <w:color w:val="auto"/>
          <w:szCs w:val="21"/>
          <w:highlight w:val="none"/>
        </w:rPr>
      </w:pPr>
      <w:r>
        <w:rPr>
          <w:rFonts w:hint="eastAsia"/>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br w:type="page" w:clear="all"/>
      </w:r>
      <w:r/>
    </w:p>
    <w:p>
      <w:pPr>
        <w:jc w:val="center"/>
        <w:spacing w:line="440" w:lineRule="exact"/>
        <w:rPr>
          <w:rFonts w:ascii="宋体" w:hAnsi="宋体"/>
          <w:bCs/>
          <w:color w:val="auto"/>
          <w:sz w:val="24"/>
          <w:szCs w:val="21"/>
          <w:highlight w:val="none"/>
        </w:rPr>
      </w:pPr>
      <w:r>
        <w:rPr>
          <w:rFonts w:hint="eastAsia" w:ascii="宋体" w:hAnsi="宋体"/>
          <w:b/>
          <w:color w:val="auto"/>
          <w:sz w:val="30"/>
          <w:szCs w:val="30"/>
          <w:highlight w:val="none"/>
        </w:rPr>
        <w:t xml:space="preserve">提供2024年度由会计师事务所（或者审计机构）出具的财务报告或投标截止时间前三个月（不含投标截止时间当月）任意一个月的银行资信证明；（成立不满一年无需提供）</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依法缴纳税收和社会保障资金的相关材料</w:t>
      </w:r>
      <w:r/>
    </w:p>
    <w:p>
      <w:pPr>
        <w:ind w:firstLine="480"/>
        <w:rPr>
          <w:rFonts w:hint="eastAsia" w:ascii="宋体" w:hAnsi="宋体"/>
          <w:bCs/>
          <w:color w:val="auto"/>
          <w:sz w:val="24"/>
          <w:szCs w:val="21"/>
          <w:highlight w:val="none"/>
        </w:rPr>
      </w:pPr>
      <w:r>
        <w:rPr>
          <w:rFonts w:hint="eastAsia" w:ascii="宋体" w:hAnsi="宋体" w:cs="宋体"/>
          <w:color w:val="auto"/>
          <w:sz w:val="24"/>
          <w:szCs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rPr>
          <w:rFonts w:hint="eastAsia" w:ascii="宋体" w:hAnsi="宋体"/>
          <w:bCs/>
          <w:color w:val="auto"/>
          <w:sz w:val="24"/>
          <w:szCs w:val="21"/>
          <w:highlight w:val="none"/>
        </w:rPr>
        <w:t xml:space="preserve">           </w:t>
      </w:r>
      <w:r/>
    </w:p>
    <w:p>
      <w:pPr>
        <w:rPr>
          <w:rFonts w:hint="eastAsia"/>
          <w:color w:val="auto"/>
          <w:szCs w:val="21"/>
          <w:highlight w:val="none"/>
        </w:rPr>
      </w:pPr>
      <w:r>
        <w:rPr>
          <w:rFonts w:hint="eastAsia"/>
          <w:color w:val="auto"/>
          <w:szCs w:val="21"/>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bCs/>
          <w:color w:val="auto"/>
          <w:sz w:val="24"/>
          <w:szCs w:val="21"/>
          <w:highlight w:val="none"/>
        </w:rPr>
      </w:pPr>
      <w:r>
        <w:rPr>
          <w:rFonts w:hint="eastAsia" w:ascii="黑体" w:hAnsi="黑体" w:eastAsia="黑体"/>
          <w:i/>
          <w:color w:val="auto"/>
          <w:sz w:val="32"/>
          <w:szCs w:val="32"/>
          <w:highlight w:val="none"/>
          <w:u w:val="single"/>
        </w:rPr>
        <w:br w:type="page" w:clear="all"/>
      </w:r>
      <w:bookmarkEnd w:id="198"/>
      <w:r/>
      <w:bookmarkEnd w:id="199"/>
      <w:r/>
      <w:bookmarkEnd w:id="200"/>
      <w:r/>
      <w:bookmarkStart w:id="205" w:name="_Toc120614284"/>
      <w:r/>
      <w:r/>
    </w:p>
    <w:p>
      <w:pPr>
        <w:ind w:firstLine="452"/>
        <w:jc w:val="center"/>
        <w:spacing w:line="560" w:lineRule="exact"/>
        <w:rPr>
          <w:rFonts w:ascii="宋体" w:hAnsi="宋体"/>
          <w:b/>
          <w:color w:val="auto"/>
          <w:sz w:val="30"/>
          <w:szCs w:val="30"/>
          <w:highlight w:val="none"/>
        </w:rPr>
      </w:pPr>
      <w:r>
        <w:rPr>
          <w:rFonts w:hint="eastAsia" w:ascii="宋体" w:hAnsi="宋体"/>
          <w:b/>
          <w:color w:val="auto"/>
          <w:sz w:val="30"/>
          <w:szCs w:val="30"/>
          <w:highlight w:val="none"/>
        </w:rPr>
        <w:t xml:space="preserve">中小企业声明函（货物）</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本公司（联合体）郑重声明，根据《政府采购促进中小企业发展管理办法》（财库</w:t>
      </w:r>
      <w:r>
        <w:rPr>
          <w:rFonts w:hint="eastAsia"/>
          <w:color w:val="auto"/>
          <w:sz w:val="28"/>
          <w:szCs w:val="28"/>
          <w:highlight w:val="none"/>
          <w:lang w:bidi="zh-CN"/>
        </w:rPr>
        <w:t xml:space="preserve">﹝</w:t>
      </w:r>
      <w:r>
        <w:rPr>
          <w:color w:val="auto"/>
          <w:sz w:val="28"/>
          <w:szCs w:val="28"/>
          <w:highlight w:val="none"/>
          <w:lang w:bidi="zh-CN"/>
        </w:rPr>
        <w:t xml:space="preserve">2020</w:t>
      </w:r>
      <w:r>
        <w:rPr>
          <w:rFonts w:hint="eastAsia"/>
          <w:color w:val="auto"/>
          <w:sz w:val="28"/>
          <w:szCs w:val="28"/>
          <w:highlight w:val="none"/>
          <w:lang w:bidi="zh-CN"/>
        </w:rPr>
        <w:t xml:space="preserve">﹞</w:t>
      </w:r>
      <w:r>
        <w:rPr>
          <w:color w:val="auto"/>
          <w:sz w:val="28"/>
          <w:szCs w:val="28"/>
          <w:highlight w:val="none"/>
          <w:lang w:bidi="zh-CN"/>
        </w:rPr>
        <w:t xml:space="preserve">46 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采购活动，提供的货物全部由符合政策要求的中小企业制造。相关企业（含联合体中的中小企业、签订分包意向协议的中小企业）的具体情况如下：</w:t>
      </w:r>
      <w:r/>
    </w:p>
    <w:p>
      <w:pPr>
        <w:spacing w:line="360" w:lineRule="auto"/>
        <w:rPr>
          <w:color w:val="auto"/>
          <w:sz w:val="28"/>
          <w:szCs w:val="28"/>
          <w:highlight w:val="none"/>
          <w:lang w:bidi="zh-CN"/>
        </w:rPr>
        <w:outlineLvl w:val="0"/>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行业；制造商为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spacing w:line="360" w:lineRule="auto"/>
        <w:rPr>
          <w:color w:val="auto"/>
          <w:sz w:val="28"/>
          <w:szCs w:val="28"/>
          <w:highlight w:val="none"/>
          <w:lang w:bidi="zh-CN"/>
        </w:rPr>
        <w:outlineLvl w:val="0"/>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行业；制造商为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spacing w:line="360" w:lineRule="auto"/>
        <w:rPr>
          <w:color w:val="auto"/>
          <w:sz w:val="28"/>
          <w:szCs w:val="28"/>
          <w:highlight w:val="none"/>
          <w:lang w:bidi="zh-CN"/>
        </w:rPr>
        <w:outlineLvl w:val="0"/>
      </w:pPr>
      <w:r>
        <w:rPr>
          <w:color w:val="auto"/>
          <w:sz w:val="28"/>
          <w:szCs w:val="28"/>
          <w:highlight w:val="none"/>
          <w:lang w:bidi="zh-CN"/>
        </w:rPr>
        <w:t xml:space="preserve">……</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本企业对上述声明内容的真实性负责。如有虚假，将依法承担相应责任。</w:t>
      </w:r>
      <w:r/>
    </w:p>
    <w:p>
      <w:pP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t xml:space="preserve">企业名称（盖章）：</w:t>
      </w:r>
      <w:r/>
    </w:p>
    <w:p>
      <w:pPr>
        <w:jc w:val="center"/>
        <w:spacing w:line="300" w:lineRule="auto"/>
        <w:rPr>
          <w:rFonts w:hint="eastAsia"/>
          <w:color w:val="auto"/>
          <w:sz w:val="28"/>
          <w:szCs w:val="28"/>
          <w:highlight w:val="none"/>
          <w:lang w:bidi="zh-CN"/>
        </w:rPr>
        <w:outlineLvl w:val="0"/>
      </w:pPr>
      <w:r>
        <w:rPr>
          <w:color w:val="auto"/>
          <w:sz w:val="28"/>
          <w:szCs w:val="28"/>
          <w:highlight w:val="none"/>
          <w:lang w:bidi="zh-CN"/>
        </w:rPr>
        <w:t xml:space="preserve">日期：</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321"/>
        <w:jc w:val="center"/>
        <w:spacing w:line="560" w:lineRule="exact"/>
        <w:rPr>
          <w:rFonts w:hint="eastAsia" w:ascii="宋体" w:hAnsi="宋体" w:cs="宋体"/>
          <w:color w:val="auto"/>
          <w:sz w:val="32"/>
          <w:szCs w:val="32"/>
          <w:highlight w:val="none"/>
        </w:rPr>
      </w:pPr>
      <w:r>
        <w:rPr>
          <w:rFonts w:ascii="黑体" w:hAnsi="黑体" w:eastAsia="黑体"/>
          <w:b/>
          <w:color w:val="auto"/>
          <w:sz w:val="32"/>
          <w:szCs w:val="32"/>
          <w:highlight w:val="none"/>
        </w:rPr>
        <w:br w:type="page" w:clear="all"/>
      </w:r>
      <w:r>
        <w:rPr>
          <w:rFonts w:hint="eastAsia" w:ascii="宋体" w:hAnsi="宋体" w:cs="宋体"/>
          <w:color w:val="auto"/>
          <w:sz w:val="32"/>
          <w:szCs w:val="32"/>
          <w:highlight w:val="none"/>
        </w:rPr>
        <w:t xml:space="preserve">中小企业划型标准规定</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各行业划型标准为：</w:t>
      </w:r>
      <w:r/>
    </w:p>
    <w:p>
      <w:pPr>
        <w:ind w:firstLine="72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01"/>
        <w:spacing w:line="56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　</w:t>
      </w:r>
      <w:r>
        <w:rPr>
          <w:rFonts w:hint="eastAsia" w:ascii="宋体" w:hAnsi="宋体" w:cs="宋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center"/>
        <w:spacing w:line="460" w:lineRule="exact"/>
        <w:rPr>
          <w:rFonts w:hint="eastAsia" w:ascii="宋体" w:hAnsi="宋体"/>
          <w:b/>
          <w:color w:val="auto"/>
          <w:sz w:val="30"/>
          <w:szCs w:val="30"/>
          <w:highlight w:val="none"/>
        </w:rPr>
      </w:pPr>
      <w:r>
        <w:rPr>
          <w:rFonts w:hint="eastAsia" w:ascii="宋体" w:hAnsi="宋体" w:cs="宋体"/>
          <w:color w:val="auto"/>
          <w:sz w:val="24"/>
          <w:highlight w:val="none"/>
        </w:rPr>
        <w:br w:type="page" w:clear="all"/>
      </w:r>
      <w:r>
        <w:rPr>
          <w:rFonts w:hint="eastAsia" w:ascii="宋体" w:hAnsi="宋体"/>
          <w:b/>
          <w:color w:val="auto"/>
          <w:sz w:val="30"/>
          <w:szCs w:val="30"/>
          <w:highlight w:val="none"/>
        </w:rPr>
        <w:t xml:space="preserve">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中标供应商为残疾人福利单位的，此声明函将随中标结果同时公告，接受社会监督）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20" w:lineRule="exact"/>
        <w:rPr>
          <w:rFonts w:ascii="Calibri" w:hAnsi="Calibri"/>
          <w:b/>
          <w:bCs/>
          <w:color w:val="auto"/>
          <w:sz w:val="32"/>
          <w:szCs w:val="32"/>
          <w:highlight w:val="none"/>
        </w:rPr>
        <w:outlineLvl w:val="3"/>
      </w:pPr>
      <w:r/>
      <w:bookmarkStart w:id="206" w:name="_Hlk110516980"/>
      <w:r>
        <w:rPr>
          <w:rFonts w:hint="eastAsia" w:ascii="Calibri" w:hAnsi="Calibri"/>
          <w:b/>
          <w:bCs/>
          <w:color w:val="auto"/>
          <w:sz w:val="32"/>
          <w:szCs w:val="32"/>
          <w:highlight w:val="none"/>
        </w:rPr>
        <w:t xml:space="preserve">监狱和戒毒企业证明材料</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1"/>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206"/>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ind w:firstLine="4237"/>
        <w:keepLines/>
        <w:keepNext/>
        <w:spacing w:before="260" w:after="260" w:line="416" w:lineRule="auto"/>
        <w:rPr>
          <w:rFonts w:hint="eastAsia" w:ascii="宋体" w:hAnsi="宋体" w:eastAsia="幼圆"/>
          <w:b/>
          <w:color w:val="auto"/>
          <w:sz w:val="30"/>
          <w:szCs w:val="30"/>
          <w:highlight w:val="none"/>
        </w:rPr>
        <w:outlineLvl w:val="1"/>
      </w:pPr>
      <w:r>
        <w:rPr>
          <w:rFonts w:hint="eastAsia" w:ascii="宋体" w:hAnsi="宋体"/>
          <w:b/>
          <w:color w:val="auto"/>
          <w:sz w:val="30"/>
          <w:szCs w:val="30"/>
          <w:highlight w:val="none"/>
        </w:rPr>
        <w:t xml:space="preserve">投标响应函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 </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60" w:lineRule="exact"/>
        <w:rPr>
          <w:rFonts w:ascii="黑体" w:hAnsi="黑体" w:eastAsia="宋体"/>
          <w:b/>
          <w:color w:val="auto"/>
          <w:sz w:val="32"/>
          <w:szCs w:val="32"/>
          <w:highlight w:val="none"/>
          <w:lang w:val="en-US" w:eastAsia="zh-CN"/>
        </w:rPr>
      </w:pPr>
      <w:r>
        <w:rPr>
          <w:rFonts w:hint="eastAsia" w:ascii="宋体" w:hAnsi="宋体"/>
          <w:bCs/>
          <w:color w:val="auto"/>
          <w:sz w:val="24"/>
          <w:szCs w:val="21"/>
          <w:highlight w:val="none"/>
        </w:rPr>
        <w:br w:type="page" w:clear="all"/>
      </w:r>
      <w:r/>
    </w:p>
    <w:p>
      <w:pPr>
        <w:jc w:val="center"/>
        <w:spacing w:line="460" w:lineRule="exact"/>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投标分项</w:t>
      </w:r>
      <w:r>
        <w:rPr>
          <w:rFonts w:hint="eastAsia" w:ascii="宋体" w:hAnsi="宋体" w:eastAsia="宋体" w:cs="Times New Roman"/>
          <w:b/>
          <w:color w:val="auto"/>
          <w:sz w:val="30"/>
          <w:szCs w:val="30"/>
          <w:highlight w:val="none"/>
        </w:rPr>
        <w:t xml:space="preserve">报价表</w:t>
      </w:r>
      <w:r/>
    </w:p>
    <w:tbl>
      <w:tblPr>
        <w:tblStyle w:val="87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4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10</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1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84"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7"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72"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1030"/>
        </w:trPr>
        <w:tc>
          <w:tcPr>
            <w:gridSpan w:val="9"/>
            <w:tcW w:w="9081"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投标报价采用总承包方式，“投标总报价”应包括采购人所投货物（包含与货物相关的服务）费用、安装调试费、测试验收费、培训费、运行维护费用、税金、国内运输保险、开证（如果有）、办理全套免税手续费用（如果有）及其他有关的为完成本项目发生的所有费用，招标文件中另有规定的除外。</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.“投标分项报价表”中“投标总报价”数额应当与“开标一览表”中“投标总报价”数额一致。</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.项目经办人可以根据项目实际需要对表格结构进行调整。</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投标人需认真填写本报价表，尤其注意规格型号的准确填写。</w:t>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bookmarkEnd w:id="176"/>
      <w:bookmarkEnd w:id="177"/>
      <w:bookmarkEnd w:id="205"/>
      <w:r/>
    </w:p>
    <w:p>
      <w:pPr>
        <w:jc w:val="center"/>
        <w:spacing w:line="460" w:lineRule="exact"/>
        <w:rPr>
          <w:rFonts w:hint="eastAsia" w:ascii="宋体" w:hAnsi="宋体"/>
          <w:b/>
          <w:color w:val="auto"/>
          <w:sz w:val="30"/>
          <w:szCs w:val="30"/>
          <w:highlight w:val="none"/>
        </w:rPr>
      </w:pPr>
      <w:r/>
      <w:bookmarkStart w:id="207" w:name="OLE_LINK16"/>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技术要求响应及偏离表</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按照项目需求填写，须提供相关证明材料。行数不够，可自行添加。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jc w:val="center"/>
        <w:spacing w:line="460" w:lineRule="exact"/>
        <w:rPr>
          <w:rFonts w:hint="eastAsia" w:ascii="宋体" w:hAnsi="宋体"/>
          <w:b/>
          <w:color w:val="auto"/>
          <w:sz w:val="30"/>
          <w:szCs w:val="30"/>
          <w:highlight w:val="none"/>
        </w:rPr>
      </w:pPr>
      <w:r/>
      <w:bookmarkStart w:id="208" w:name="_Hlt26955054"/>
      <w:r/>
      <w:bookmarkEnd w:id="208"/>
      <w:r>
        <w:rPr>
          <w:rFonts w:hint="eastAsia" w:ascii="宋体" w:hAnsi="宋体"/>
          <w:b/>
          <w:color w:val="auto"/>
          <w:sz w:val="30"/>
          <w:szCs w:val="30"/>
          <w:highlight w:val="none"/>
        </w:rPr>
        <w:t xml:space="preserve">商务要求响应及偏离表</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209" w:name="_Hlt26955056"/>
            <w:r/>
            <w:bookmarkEnd w:id="209"/>
            <w:r/>
            <w:bookmarkStart w:id="210" w:name="_Hlt26955064"/>
            <w:r/>
            <w:bookmarkEnd w:id="210"/>
            <w:r/>
            <w:bookmarkStart w:id="211" w:name="_Hlt26671343"/>
            <w:r/>
            <w:bookmarkEnd w:id="211"/>
            <w:r/>
            <w:bookmarkStart w:id="212" w:name="_Hlt24879081"/>
            <w:r/>
            <w:bookmarkEnd w:id="212"/>
            <w:r/>
            <w:bookmarkStart w:id="213" w:name="_Hlt26580838"/>
            <w:r/>
            <w:bookmarkEnd w:id="213"/>
            <w:r/>
            <w:bookmarkStart w:id="214" w:name="_Hlt26782999"/>
            <w:r/>
            <w:bookmarkEnd w:id="214"/>
            <w:r/>
            <w:bookmarkStart w:id="215" w:name="_Hlt26671372"/>
            <w:r/>
            <w:bookmarkEnd w:id="215"/>
            <w:r/>
            <w:bookmarkStart w:id="216" w:name="_Hlt26609391"/>
            <w:r/>
            <w:bookmarkEnd w:id="216"/>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按照项目需求填写，须提供相关证明材料。行数不够，可自行添加。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217" w:name="_Hlt26671374"/>
      <w:r/>
      <w:bookmarkEnd w:id="217"/>
      <w:r/>
      <w:bookmarkStart w:id="218" w:name="_Hlt26609389"/>
      <w:r/>
      <w:bookmarkEnd w:id="218"/>
      <w:r/>
      <w:bookmarkStart w:id="219" w:name="_Hlt26955066"/>
      <w:r/>
      <w:bookmarkEnd w:id="219"/>
      <w:r/>
      <w:bookmarkStart w:id="220" w:name="_Toc462564146"/>
      <w:r/>
      <w:bookmarkEnd w:id="220"/>
      <w:r/>
    </w:p>
    <w:p>
      <w:pPr>
        <w:jc w:val="center"/>
        <w:rPr>
          <w:rFonts w:hint="eastAsia" w:ascii="黑体" w:hAnsi="黑体" w:eastAsia="黑体"/>
          <w:b/>
          <w:color w:val="auto"/>
          <w:sz w:val="32"/>
          <w:szCs w:val="32"/>
          <w:highlight w:val="none"/>
        </w:rPr>
      </w:pPr>
      <w:r/>
      <w:bookmarkStart w:id="221" w:name="_格式2__法定代表人授权书"/>
      <w:r/>
      <w:bookmarkEnd w:id="221"/>
      <w:r/>
      <w:bookmarkEnd w:id="207"/>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color w:val="auto"/>
          <w:sz w:val="32"/>
          <w:szCs w:val="32"/>
          <w:highlight w:val="none"/>
        </w:rPr>
        <w:br w:type="page" w:clear="all"/>
      </w:r>
      <w:r>
        <w:rPr>
          <w:color w:val="auto"/>
          <w:highlight w:val="none"/>
        </w:rPr>
        <mc:AlternateContent>
          <mc:Choice Requires="wpg">
            <w:drawing>
              <wp:inline xmlns:wp="http://schemas.openxmlformats.org/drawingml/2006/wordprocessingDrawing" distT="0" distB="0" distL="0" distR="0">
                <wp:extent cx="5683250" cy="6777990"/>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5683707" cy="67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7.5pt;height:533.7pt;mso-wrap-distance-left:0.0pt;mso-wrap-distance-top:0.0pt;mso-wrap-distance-right:0.0pt;mso-wrap-distance-bottom:0.0pt;" stroked="f">
                <v:path textboxrect="0,0,0,0"/>
                <v:imagedata r:id="rId21" o:title=""/>
              </v:shape>
            </w:pict>
          </mc:Fallback>
        </mc:AlternateContent>
      </w:r>
      <w:r/>
    </w:p>
    <w:p>
      <w:pPr>
        <w:jc w:val="center"/>
        <w:spacing w:line="460" w:lineRule="exact"/>
        <w:rPr>
          <w:rFonts w:hint="eastAsia" w:ascii="宋体" w:hAnsi="宋体"/>
          <w:b/>
          <w:color w:val="auto"/>
          <w:sz w:val="30"/>
          <w:szCs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72390</wp:posOffset>
                </wp:positionH>
                <wp:positionV relativeFrom="paragraph">
                  <wp:posOffset>3634740</wp:posOffset>
                </wp:positionV>
                <wp:extent cx="5676900" cy="2606040"/>
                <wp:effectExtent l="0" t="0" r="0" b="0"/>
                <wp:wrapSquare wrapText="bothSides"/>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5676900" cy="2606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5.7pt;mso-position-horizontal:absolute;mso-position-vertical-relative:text;margin-top:286.2pt;mso-position-vertical:absolute;width:447.0pt;height:205.2pt;mso-wrap-distance-left:9.0pt;mso-wrap-distance-top:0.0pt;mso-wrap-distance-right:9.0pt;mso-wrap-distance-bottom:0.0pt;" stroked="f">
                <v:path textboxrect="0,0,0,0"/>
                <w10:wrap type="square"/>
                <v:imagedata r:id="rId22" o:title=""/>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273050</wp:posOffset>
                </wp:positionV>
                <wp:extent cx="5684520" cy="3482340"/>
                <wp:effectExtent l="0" t="0" r="0" b="0"/>
                <wp:wrapSquare wrapText="bothSides"/>
                <wp:docPr id="10"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3"/>
                        <a:stretch/>
                      </pic:blipFill>
                      <pic:spPr bwMode="auto">
                        <a:xfrm>
                          <a:off x="0" y="0"/>
                          <a:ext cx="5684520" cy="3482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8.0pt;mso-position-horizontal:absolute;mso-position-vertical-relative:text;margin-top:21.5pt;mso-position-vertical:absolute;width:447.6pt;height:274.2pt;mso-wrap-distance-left:9.0pt;mso-wrap-distance-top:0.0pt;mso-wrap-distance-right:9.0pt;mso-wrap-distance-bottom:0.0pt;" stroked="f">
                <v:path textboxrect="0,0,0,0"/>
                <w10:wrap type="square"/>
                <v:imagedata r:id="rId23" o:title=""/>
              </v:shape>
            </w:pict>
          </mc:Fallback>
        </mc:AlternateContent>
      </w:r>
      <w:r/>
    </w:p>
    <w:p>
      <w:pPr>
        <w:tabs>
          <w:tab w:val="left" w:pos="1464" w:leader="none"/>
        </w:tabs>
        <w:rPr>
          <w:rFonts w:hint="eastAsia" w:ascii="宋体" w:hAnsi="宋体"/>
          <w:color w:val="auto"/>
          <w:sz w:val="30"/>
          <w:szCs w:val="30"/>
          <w:highlight w:val="none"/>
        </w:rPr>
      </w:pPr>
      <w:r>
        <w:rPr>
          <w:rFonts w:hint="eastAsia" w:ascii="宋体" w:hAnsi="宋体"/>
          <w:color w:val="auto"/>
          <w:sz w:val="30"/>
          <w:szCs w:val="30"/>
          <w:highlight w:val="none"/>
        </w:rPr>
        <w:tab/>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br w:type="column"/>
      </w:r>
      <w:r>
        <w:rPr>
          <w:rFonts w:hint="eastAsia" w:ascii="宋体" w:hAnsi="宋体"/>
          <w:b/>
          <w:color w:val="auto"/>
          <w:sz w:val="30"/>
          <w:szCs w:val="30"/>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3.质疑供应商若对项目的某一分包进行质疑，质疑函中应列明具体标段。</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highlight w:val="none"/>
        </w:rPr>
      </w:pPr>
      <w:r>
        <w:rPr>
          <w:rFonts w:hint="eastAsia"/>
          <w:color w:val="auto"/>
          <w:sz w:val="24"/>
          <w:szCs w:val="24"/>
          <w:highlight w:val="none"/>
        </w:rPr>
      </w:r>
      <w:r/>
    </w:p>
    <w:p>
      <w:pPr>
        <w:ind w:firstLine="420"/>
        <w:rPr>
          <w:color w:val="auto"/>
          <w:sz w:val="24"/>
          <w:szCs w:val="24"/>
          <w:highlight w:val="none"/>
        </w:rPr>
      </w:pPr>
      <w:r>
        <w:rPr>
          <w:color w:val="auto"/>
          <w:sz w:val="24"/>
          <w:szCs w:val="24"/>
          <w:highlight w:val="none"/>
        </w:rPr>
      </w:r>
      <w:r/>
    </w:p>
    <w:p>
      <w:pPr>
        <w:ind w:firstLine="160"/>
        <w:rPr>
          <w:rFonts w:ascii="仿宋_GB2312" w:hAnsi="Calibri" w:eastAsia="仿宋_GB2312"/>
          <w:color w:val="auto"/>
          <w:sz w:val="32"/>
          <w:highlight w:val="none"/>
        </w:rPr>
      </w:pPr>
      <w:r>
        <w:rPr>
          <w:rFonts w:hint="eastAsia" w:ascii="仿宋_GB2312" w:hAnsi="Calibri" w:eastAsia="仿宋_GB2312"/>
          <w:color w:val="auto"/>
          <w:sz w:val="32"/>
          <w:highlight w:val="none"/>
        </w:rPr>
        <w:t xml:space="preserve">附件：</w:t>
      </w:r>
      <w:r/>
    </w:p>
    <w:p>
      <w:pPr>
        <w:ind w:firstLine="240"/>
        <w:jc w:val="cente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办理政采贷和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）告知函</w:t>
      </w:r>
      <w:r/>
    </w:p>
    <w:p>
      <w:pPr>
        <w:ind w:firstLine="240"/>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ind w:firstLine="24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各政府采购供应商：</w:t>
      </w:r>
      <w:r/>
    </w:p>
    <w:p>
      <w:pPr>
        <w:ind w:firstLine="24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欢迎贵公司参与南通市政府采购活动！</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政府采购线上合同信用融资和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）是支持企业发展，针对参与政府采购活动的企业融资难、现金流不足等问题推出的一项服务举措。</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贵公司若成为本次政府采购项目的中标（成交）供应商，可自愿选择</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240"/>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spacing w:line="460" w:lineRule="exact"/>
        <w:rPr>
          <w:rFonts w:ascii="宋体" w:hAnsi="宋体"/>
          <w:b/>
          <w:color w:val="auto"/>
          <w:sz w:val="30"/>
          <w:szCs w:val="30"/>
          <w:highlight w:val="none"/>
        </w:rPr>
      </w:pPr>
      <w:r>
        <w:rPr>
          <w:rFonts w:ascii="宋体" w:hAnsi="宋体"/>
          <w:b/>
          <w:color w:val="auto"/>
          <w:sz w:val="30"/>
          <w:szCs w:val="30"/>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rPr>
                        <w:rStyle w:val="1120"/>
                        <w:rFonts w:ascii="宋体" w:hAnsi="宋体"/>
                      </w:rPr>
                    </w:pPr>
                    <w:r>
                      <w:rPr>
                        <w:rFonts w:ascii="宋体" w:hAnsi="宋体"/>
                      </w:rPr>
                      <w:fldChar w:fldCharType="begin"/>
                    </w:r>
                    <w:r>
                      <w:rPr>
                        <w:rStyle w:val="1120"/>
                        <w:rFonts w:ascii="宋体" w:hAnsi="宋体"/>
                      </w:rPr>
                      <w:instrText xml:space="preserve">PAGE  </w:instrText>
                    </w:r>
                    <w:r>
                      <w:rPr>
                        <w:rFonts w:ascii="宋体" w:hAnsi="宋体"/>
                      </w:rPr>
                      <w:fldChar w:fldCharType="separate"/>
                    </w:r>
                    <w:r>
                      <w:rPr>
                        <w:rStyle w:val="1120"/>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p>
    <w:pP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20"/>
      </w:rPr>
      <w:framePr w:wrap="around" w:vAnchor="text" w:hAnchor="margin" w:xAlign="center" w:y="1"/>
    </w:pPr>
    <w:r>
      <w:fldChar w:fldCharType="begin"/>
    </w:r>
    <w:r>
      <w:rPr>
        <w:rStyle w:val="1120"/>
      </w:rPr>
      <w:instrText xml:space="preserve">PAGE  </w:instrText>
    </w:r>
    <w:r>
      <w:fldChar w:fldCharType="separate"/>
    </w:r>
    <w:r>
      <w:rPr>
        <w:rStyle w:val="1120"/>
      </w:rPr>
      <w:t xml:space="preserve">1</w:t>
    </w:r>
    <w:r>
      <w:fldChar w:fldCharType="end"/>
    </w:r>
    <w:r/>
  </w:p>
  <w:p>
    <w:pPr>
      <w:pStyle w:val="1095"/>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p>
    <w:pPr>
      <w:rPr>
        <w:rFonts w:hint="eastAsia"/>
        <w:b/>
        <w:i/>
      </w:rPr>
    </w:pP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66"/>
      <w:isLgl w:val="false"/>
      <w:suff w:val="space"/>
      <w:lvlText w:val=""/>
      <w:lvlJc w:val="left"/>
      <w:pPr>
        <w:ind w:left="780" w:hanging="360"/>
        <w:tabs>
          <w:tab w:val="left" w:pos="780" w:leader="none"/>
        </w:tabs>
      </w:pPr>
      <w:rPr>
        <w:rFonts w:ascii="Wingdings" w:hAnsi="Wingdings"/>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upperLetter"/>
      <w:pStyle w:val="11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5"/>
      <w:isLgl w:val="false"/>
      <w:suff w:val="nothing"/>
      <w:lvlText w:val=""/>
      <w:lvlJc w:val="left"/>
      <w:pPr>
        <w:ind w:left="0" w:firstLine="0"/>
      </w:pPr>
      <w:rPr>
        <w:rFonts w:hint="eastAsia"/>
      </w:rPr>
    </w:lvl>
    <w:lvl w:ilvl="6">
      <w:start w:val="1"/>
      <w:numFmt w:val="decimal"/>
      <w:pStyle w:val="1056"/>
      <w:isLgl w:val="false"/>
      <w:suff w:val="nothing"/>
      <w:lvlText w:val=""/>
      <w:lvlJc w:val="left"/>
      <w:pPr>
        <w:ind w:left="0" w:firstLine="0"/>
      </w:pPr>
      <w:rPr>
        <w:rFonts w:hint="eastAsia"/>
      </w:rPr>
    </w:lvl>
    <w:lvl w:ilvl="7">
      <w:start w:val="1"/>
      <w:numFmt w:val="decimal"/>
      <w:pStyle w:val="1057"/>
      <w:isLgl w:val="false"/>
      <w:suff w:val="nothing"/>
      <w:lvlText w:val=""/>
      <w:lvlJc w:val="left"/>
      <w:pPr>
        <w:ind w:left="0" w:firstLine="0"/>
      </w:pPr>
      <w:rPr>
        <w:rFonts w:hint="eastAsia"/>
      </w:rPr>
    </w:lvl>
    <w:lvl w:ilvl="8">
      <w:start w:val="1"/>
      <w:numFmt w:val="decimal"/>
      <w:pStyle w:val="1058"/>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1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3"/>
  </w:num>
  <w:num w:numId="5">
    <w:abstractNumId w:val="2"/>
  </w:num>
  <w:num w:numId="6">
    <w:abstractNumId w:val="0"/>
  </w:num>
  <w:num w:numId="7">
    <w:abstractNumId w:val="7"/>
  </w:num>
  <w:num w:numId="8">
    <w:abstractNumId w:val="8"/>
  </w:num>
  <w:num w:numId="9">
    <w:abstractNumId w:val="13"/>
  </w:num>
  <w:num w:numId="10">
    <w:abstractNumId w:val="6"/>
  </w:num>
  <w:num w:numId="11">
    <w:abstractNumId w:val="1"/>
  </w:num>
  <w:num w:numId="12">
    <w:abstractNumId w:val="10"/>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link w:val="11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9">
    <w:name w:val="Heading 1"/>
    <w:basedOn w:val="868"/>
    <w:next w:val="868"/>
    <w:link w:val="901"/>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02"/>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03"/>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04"/>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05"/>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06"/>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0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09"/>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toc 7"/>
    <w:basedOn w:val="868"/>
    <w:next w:val="868"/>
    <w:uiPriority w:val="39"/>
    <w:unhideWhenUsed/>
    <w:qFormat/>
    <w:pPr>
      <w:ind w:left="1701" w:right="0" w:firstLine="0"/>
      <w:spacing w:after="57"/>
    </w:pPr>
  </w:style>
  <w:style w:type="paragraph" w:styleId="881">
    <w:name w:val="Caption"/>
    <w:basedOn w:val="868"/>
    <w:next w:val="868"/>
    <w:uiPriority w:val="35"/>
    <w:semiHidden/>
    <w:unhideWhenUsed/>
    <w:qFormat/>
    <w:pPr>
      <w:spacing w:line="276" w:lineRule="auto"/>
    </w:pPr>
    <w:rPr>
      <w:b/>
      <w:bCs/>
      <w:color w:val="4f81bd" w:themeColor="accent1"/>
      <w:sz w:val="18"/>
      <w:szCs w:val="18"/>
    </w:rPr>
  </w:style>
  <w:style w:type="paragraph" w:styleId="882">
    <w:name w:val="toc 5"/>
    <w:basedOn w:val="868"/>
    <w:next w:val="868"/>
    <w:uiPriority w:val="39"/>
    <w:unhideWhenUsed/>
    <w:qFormat/>
    <w:pPr>
      <w:ind w:left="1134" w:right="0" w:firstLine="0"/>
      <w:spacing w:after="57"/>
    </w:pPr>
  </w:style>
  <w:style w:type="paragraph" w:styleId="883">
    <w:name w:val="toc 3"/>
    <w:basedOn w:val="868"/>
    <w:next w:val="868"/>
    <w:uiPriority w:val="39"/>
    <w:unhideWhenUsed/>
    <w:qFormat/>
    <w:pPr>
      <w:ind w:left="567" w:right="0" w:firstLine="0"/>
      <w:spacing w:after="57"/>
    </w:pPr>
  </w:style>
  <w:style w:type="paragraph" w:styleId="884">
    <w:name w:val="toc 8"/>
    <w:basedOn w:val="868"/>
    <w:next w:val="868"/>
    <w:uiPriority w:val="39"/>
    <w:unhideWhenUsed/>
    <w:qFormat/>
    <w:pPr>
      <w:ind w:left="1984" w:right="0" w:firstLine="0"/>
      <w:spacing w:after="57"/>
    </w:pPr>
  </w:style>
  <w:style w:type="paragraph" w:styleId="885">
    <w:name w:val="endnote text"/>
    <w:basedOn w:val="868"/>
    <w:link w:val="1047"/>
    <w:uiPriority w:val="99"/>
    <w:semiHidden/>
    <w:unhideWhenUsed/>
    <w:qFormat/>
    <w:pPr>
      <w:spacing w:after="0" w:line="240" w:lineRule="auto"/>
    </w:pPr>
    <w:rPr>
      <w:sz w:val="20"/>
    </w:rPr>
  </w:style>
  <w:style w:type="paragraph" w:styleId="886">
    <w:name w:val="Footer"/>
    <w:basedOn w:val="868"/>
    <w:link w:val="920"/>
    <w:uiPriority w:val="99"/>
    <w:unhideWhenUsed/>
    <w:qFormat/>
    <w:pPr>
      <w:spacing w:after="0" w:line="240" w:lineRule="auto"/>
      <w:tabs>
        <w:tab w:val="center" w:pos="7143" w:leader="none"/>
        <w:tab w:val="right" w:pos="14287" w:leader="none"/>
      </w:tabs>
    </w:pPr>
  </w:style>
  <w:style w:type="paragraph" w:styleId="887">
    <w:name w:val="Header"/>
    <w:basedOn w:val="868"/>
    <w:link w:val="918"/>
    <w:uiPriority w:val="99"/>
    <w:unhideWhenUsed/>
    <w:qFormat/>
    <w:pPr>
      <w:spacing w:after="0" w:line="240" w:lineRule="auto"/>
      <w:tabs>
        <w:tab w:val="center" w:pos="7143" w:leader="none"/>
        <w:tab w:val="right" w:pos="14287" w:leader="none"/>
      </w:tabs>
    </w:pPr>
  </w:style>
  <w:style w:type="paragraph" w:styleId="888">
    <w:name w:val="toc 1"/>
    <w:basedOn w:val="868"/>
    <w:next w:val="868"/>
    <w:uiPriority w:val="39"/>
    <w:unhideWhenUsed/>
    <w:qFormat/>
    <w:pPr>
      <w:ind w:left="0" w:right="0" w:firstLine="0"/>
      <w:spacing w:after="57"/>
    </w:pPr>
  </w:style>
  <w:style w:type="paragraph" w:styleId="889">
    <w:name w:val="toc 4"/>
    <w:basedOn w:val="868"/>
    <w:next w:val="868"/>
    <w:uiPriority w:val="39"/>
    <w:unhideWhenUsed/>
    <w:qFormat/>
    <w:pPr>
      <w:ind w:left="850" w:right="0" w:firstLine="0"/>
      <w:spacing w:after="57"/>
    </w:pPr>
  </w:style>
  <w:style w:type="paragraph" w:styleId="890">
    <w:name w:val="Subtitle"/>
    <w:basedOn w:val="868"/>
    <w:next w:val="868"/>
    <w:link w:val="913"/>
    <w:uiPriority w:val="11"/>
    <w:qFormat/>
    <w:pPr>
      <w:spacing w:before="200" w:after="200"/>
    </w:pPr>
    <w:rPr>
      <w:sz w:val="24"/>
      <w:szCs w:val="24"/>
    </w:rPr>
  </w:style>
  <w:style w:type="paragraph" w:styleId="891">
    <w:name w:val="footnote text"/>
    <w:basedOn w:val="868"/>
    <w:link w:val="1046"/>
    <w:uiPriority w:val="99"/>
    <w:semiHidden/>
    <w:unhideWhenUsed/>
    <w:qFormat/>
    <w:pPr>
      <w:spacing w:after="40" w:line="240" w:lineRule="auto"/>
    </w:pPr>
    <w:rPr>
      <w:sz w:val="18"/>
    </w:rPr>
  </w:style>
  <w:style w:type="paragraph" w:styleId="892">
    <w:name w:val="toc 6"/>
    <w:basedOn w:val="868"/>
    <w:next w:val="868"/>
    <w:uiPriority w:val="39"/>
    <w:unhideWhenUsed/>
    <w:qFormat/>
    <w:pPr>
      <w:ind w:left="1417" w:right="0" w:firstLine="0"/>
      <w:spacing w:after="57"/>
    </w:pPr>
  </w:style>
  <w:style w:type="paragraph" w:styleId="893">
    <w:name w:val="table of figures"/>
    <w:basedOn w:val="868"/>
    <w:next w:val="868"/>
    <w:uiPriority w:val="99"/>
    <w:unhideWhenUsed/>
    <w:qFormat/>
    <w:pPr>
      <w:spacing w:after="0" w:afterAutospacing="0"/>
    </w:pPr>
  </w:style>
  <w:style w:type="paragraph" w:styleId="894">
    <w:name w:val="toc 2"/>
    <w:basedOn w:val="868"/>
    <w:next w:val="868"/>
    <w:uiPriority w:val="39"/>
    <w:unhideWhenUsed/>
    <w:qFormat/>
    <w:pPr>
      <w:ind w:left="283" w:right="0" w:firstLine="0"/>
      <w:spacing w:after="57"/>
    </w:pPr>
  </w:style>
  <w:style w:type="paragraph" w:styleId="895">
    <w:name w:val="toc 9"/>
    <w:basedOn w:val="868"/>
    <w:next w:val="868"/>
    <w:uiPriority w:val="39"/>
    <w:unhideWhenUsed/>
    <w:qFormat/>
    <w:pPr>
      <w:ind w:left="2268" w:right="0" w:firstLine="0"/>
      <w:spacing w:after="57"/>
    </w:pPr>
  </w:style>
  <w:style w:type="paragraph" w:styleId="896">
    <w:name w:val="Title"/>
    <w:basedOn w:val="868"/>
    <w:next w:val="868"/>
    <w:link w:val="912"/>
    <w:uiPriority w:val="10"/>
    <w:qFormat/>
    <w:pPr>
      <w:contextualSpacing/>
      <w:spacing w:before="300" w:after="200"/>
    </w:pPr>
    <w:rPr>
      <w:sz w:val="48"/>
      <w:szCs w:val="48"/>
    </w:rPr>
  </w:style>
  <w:style w:type="table" w:styleId="8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endnote reference"/>
    <w:uiPriority w:val="99"/>
    <w:semiHidden/>
    <w:unhideWhenUsed/>
    <w:qFormat/>
    <w:rPr>
      <w:vertAlign w:val="superscript"/>
    </w:rPr>
  </w:style>
  <w:style w:type="character" w:styleId="899">
    <w:name w:val="Hyperlink"/>
    <w:uiPriority w:val="99"/>
    <w:unhideWhenUsed/>
    <w:qFormat/>
    <w:rPr>
      <w:color w:val="0000ff" w:themeColor="hyperlink"/>
      <w:u w:val="single"/>
    </w:rPr>
  </w:style>
  <w:style w:type="character" w:styleId="900">
    <w:name w:val="footnote reference"/>
    <w:uiPriority w:val="99"/>
    <w:unhideWhenUsed/>
    <w:qFormat/>
    <w:rPr>
      <w:vertAlign w:val="superscript"/>
    </w:rPr>
  </w:style>
  <w:style w:type="character" w:styleId="901" w:customStyle="1">
    <w:name w:val="Heading 1 Char"/>
    <w:link w:val="869"/>
    <w:uiPriority w:val="9"/>
    <w:qFormat/>
    <w:rPr>
      <w:rFonts w:ascii="Arial" w:hAnsi="Arial" w:eastAsia="Arial" w:cs="Arial"/>
      <w:sz w:val="40"/>
      <w:szCs w:val="40"/>
    </w:rPr>
  </w:style>
  <w:style w:type="character" w:styleId="902" w:customStyle="1">
    <w:name w:val="Heading 2 Char"/>
    <w:link w:val="870"/>
    <w:uiPriority w:val="9"/>
    <w:qFormat/>
    <w:rPr>
      <w:rFonts w:ascii="Arial" w:hAnsi="Arial" w:eastAsia="Arial" w:cs="Arial"/>
      <w:sz w:val="34"/>
    </w:rPr>
  </w:style>
  <w:style w:type="character" w:styleId="903" w:customStyle="1">
    <w:name w:val="Heading 3 Char"/>
    <w:link w:val="871"/>
    <w:uiPriority w:val="9"/>
    <w:qFormat/>
    <w:rPr>
      <w:rFonts w:ascii="Arial" w:hAnsi="Arial" w:eastAsia="Arial" w:cs="Arial"/>
      <w:sz w:val="30"/>
      <w:szCs w:val="30"/>
    </w:rPr>
  </w:style>
  <w:style w:type="character" w:styleId="904" w:customStyle="1">
    <w:name w:val="Heading 4 Char"/>
    <w:link w:val="872"/>
    <w:uiPriority w:val="9"/>
    <w:qFormat/>
    <w:rPr>
      <w:rFonts w:ascii="Arial" w:hAnsi="Arial" w:eastAsia="Arial" w:cs="Arial"/>
      <w:b/>
      <w:bCs/>
      <w:sz w:val="26"/>
      <w:szCs w:val="26"/>
    </w:rPr>
  </w:style>
  <w:style w:type="character" w:styleId="905" w:customStyle="1">
    <w:name w:val="Heading 5 Char"/>
    <w:link w:val="873"/>
    <w:uiPriority w:val="9"/>
    <w:qFormat/>
    <w:rPr>
      <w:rFonts w:ascii="Arial" w:hAnsi="Arial" w:eastAsia="Arial" w:cs="Arial"/>
      <w:b/>
      <w:bCs/>
      <w:sz w:val="24"/>
      <w:szCs w:val="24"/>
    </w:rPr>
  </w:style>
  <w:style w:type="character" w:styleId="906" w:customStyle="1">
    <w:name w:val="Heading 6 Char"/>
    <w:link w:val="874"/>
    <w:uiPriority w:val="9"/>
    <w:qFormat/>
    <w:rPr>
      <w:rFonts w:ascii="Arial" w:hAnsi="Arial" w:eastAsia="Arial" w:cs="Arial"/>
      <w:b/>
      <w:bCs/>
      <w:sz w:val="22"/>
      <w:szCs w:val="22"/>
    </w:rPr>
  </w:style>
  <w:style w:type="character" w:styleId="907" w:customStyle="1">
    <w:name w:val="Heading 7 Char"/>
    <w:link w:val="875"/>
    <w:uiPriority w:val="9"/>
    <w:qFormat/>
    <w:rPr>
      <w:rFonts w:ascii="Arial" w:hAnsi="Arial" w:eastAsia="Arial" w:cs="Arial"/>
      <w:b/>
      <w:bCs/>
      <w:i/>
      <w:iCs/>
      <w:sz w:val="22"/>
      <w:szCs w:val="22"/>
    </w:rPr>
  </w:style>
  <w:style w:type="character" w:styleId="908" w:customStyle="1">
    <w:name w:val="Heading 8 Char"/>
    <w:link w:val="876"/>
    <w:uiPriority w:val="9"/>
    <w:qFormat/>
    <w:rPr>
      <w:rFonts w:ascii="Arial" w:hAnsi="Arial" w:eastAsia="Arial" w:cs="Arial"/>
      <w:i/>
      <w:iCs/>
      <w:sz w:val="22"/>
      <w:szCs w:val="22"/>
    </w:rPr>
  </w:style>
  <w:style w:type="character" w:styleId="909" w:customStyle="1">
    <w:name w:val="Heading 9 Char"/>
    <w:link w:val="877"/>
    <w:uiPriority w:val="9"/>
    <w:qFormat/>
    <w:rPr>
      <w:rFonts w:ascii="Arial" w:hAnsi="Arial" w:eastAsia="Arial" w:cs="Arial"/>
      <w:i/>
      <w:iCs/>
      <w:sz w:val="21"/>
      <w:szCs w:val="21"/>
    </w:rPr>
  </w:style>
  <w:style w:type="paragraph" w:styleId="910">
    <w:name w:val="List Paragraph"/>
    <w:basedOn w:val="868"/>
    <w:uiPriority w:val="34"/>
    <w:qFormat/>
    <w:pPr>
      <w:contextualSpacing/>
      <w:ind w:left="720"/>
    </w:pPr>
  </w:style>
  <w:style w:type="paragraph" w:styleId="911">
    <w:name w:val="No Spacing"/>
    <w:uiPriority w:val="1"/>
    <w:qFormat/>
    <w:pPr>
      <w:spacing w:before="0" w:after="0" w:line="240" w:lineRule="auto"/>
    </w:pPr>
    <w:rPr>
      <w:rFonts w:hint="default" w:ascii="Times New Roman" w:hAnsi="Times New Roman" w:eastAsia="宋体" w:cs="Times New Roman"/>
    </w:rPr>
  </w:style>
  <w:style w:type="character" w:styleId="912" w:customStyle="1">
    <w:name w:val="Title Char"/>
    <w:link w:val="896"/>
    <w:uiPriority w:val="10"/>
    <w:qFormat/>
    <w:rPr>
      <w:sz w:val="48"/>
      <w:szCs w:val="48"/>
    </w:rPr>
  </w:style>
  <w:style w:type="character" w:styleId="913" w:customStyle="1">
    <w:name w:val="Subtitle Char"/>
    <w:link w:val="890"/>
    <w:uiPriority w:val="11"/>
    <w:qFormat/>
    <w:rPr>
      <w:sz w:val="24"/>
      <w:szCs w:val="24"/>
    </w:rPr>
  </w:style>
  <w:style w:type="paragraph" w:styleId="914">
    <w:name w:val="Quote"/>
    <w:basedOn w:val="868"/>
    <w:next w:val="868"/>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68"/>
    <w:next w:val="8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link w:val="887"/>
    <w:uiPriority w:val="99"/>
    <w:qFormat/>
  </w:style>
  <w:style w:type="character" w:styleId="919" w:customStyle="1">
    <w:name w:val="Footer Char"/>
    <w:link w:val="886"/>
    <w:uiPriority w:val="99"/>
    <w:qFormat/>
  </w:style>
  <w:style w:type="character" w:styleId="920" w:customStyle="1">
    <w:name w:val="Caption Char"/>
    <w:link w:val="886"/>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91"/>
    <w:uiPriority w:val="99"/>
    <w:qFormat/>
    <w:rPr>
      <w:sz w:val="18"/>
    </w:rPr>
  </w:style>
  <w:style w:type="character" w:styleId="1047" w:customStyle="1">
    <w:name w:val="Endnote Text Char"/>
    <w:link w:val="885"/>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标题 11"/>
    <w:basedOn w:val="868"/>
    <w:next w:val="868"/>
    <w:link w:val="1061"/>
    <w:uiPriority w:val="0"/>
    <w:qFormat/>
    <w:pPr>
      <w:jc w:val="center"/>
      <w:keepNext/>
      <w:outlineLvl w:val="0"/>
    </w:pPr>
    <w:rPr>
      <w:rFonts w:ascii="楷体_GB2312" w:hAnsi="Times New Roman" w:eastAsia="楷体_GB2312" w:cs="Times New Roman"/>
      <w:sz w:val="28"/>
      <w:szCs w:val="28"/>
    </w:rPr>
  </w:style>
  <w:style w:type="paragraph" w:styleId="1050" w:customStyle="1">
    <w:name w:val="标题 21"/>
    <w:basedOn w:val="868"/>
    <w:next w:val="868"/>
    <w:link w:val="10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1" w:customStyle="1">
    <w:name w:val="标题 31"/>
    <w:basedOn w:val="868"/>
    <w:next w:val="868"/>
    <w:link w:val="106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52" w:customStyle="1">
    <w:name w:val="标题 411"/>
    <w:basedOn w:val="868"/>
    <w:next w:val="1053"/>
    <w:link w:val="1064"/>
    <w:uiPriority w:val="0"/>
    <w:qFormat/>
    <w:pPr>
      <w:keepLines/>
      <w:keepNext/>
      <w:spacing w:before="280" w:after="290" w:line="376" w:lineRule="auto"/>
      <w:outlineLvl w:val="3"/>
    </w:pPr>
    <w:rPr>
      <w:rFonts w:ascii="Arial" w:hAnsi="Arial" w:eastAsia="黑体" w:cs="Arial"/>
      <w:b/>
      <w:bCs/>
      <w:sz w:val="28"/>
      <w:szCs w:val="28"/>
    </w:rPr>
  </w:style>
  <w:style w:type="paragraph" w:styleId="1053" w:customStyle="1">
    <w:name w:val="正文缩进11"/>
    <w:basedOn w:val="868"/>
    <w:link w:val="1065"/>
    <w:uiPriority w:val="0"/>
    <w:qFormat/>
    <w:pPr>
      <w:ind w:firstLine="420"/>
    </w:pPr>
    <w:rPr>
      <w:szCs w:val="21"/>
    </w:rPr>
  </w:style>
  <w:style w:type="paragraph" w:styleId="1054" w:customStyle="1">
    <w:name w:val="标题 51"/>
    <w:basedOn w:val="868"/>
    <w:next w:val="1053"/>
    <w:link w:val="1066"/>
    <w:uiPriority w:val="0"/>
    <w:qFormat/>
    <w:pPr>
      <w:keepNext/>
      <w:outlineLvl w:val="4"/>
    </w:pPr>
    <w:rPr>
      <w:rFonts w:ascii="宋体" w:hAnsi="Times New Roman" w:eastAsia="宋体" w:cs="Times New Roman"/>
      <w:color w:val="000000"/>
      <w:sz w:val="28"/>
      <w:szCs w:val="28"/>
    </w:rPr>
  </w:style>
  <w:style w:type="paragraph" w:styleId="1055" w:customStyle="1">
    <w:name w:val="标题 61"/>
    <w:basedOn w:val="868"/>
    <w:next w:val="868"/>
    <w:link w:val="106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56" w:customStyle="1">
    <w:name w:val="标题 71"/>
    <w:basedOn w:val="868"/>
    <w:next w:val="868"/>
    <w:link w:val="106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57" w:customStyle="1">
    <w:name w:val="标题 81"/>
    <w:basedOn w:val="868"/>
    <w:next w:val="868"/>
    <w:link w:val="106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58" w:customStyle="1">
    <w:name w:val="标题 91"/>
    <w:basedOn w:val="868"/>
    <w:next w:val="868"/>
    <w:link w:val="107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59" w:customStyle="1">
    <w:name w:val="默认段落字体1"/>
    <w:link w:val="868"/>
    <w:uiPriority w:val="1"/>
    <w:unhideWhenUsed/>
    <w:qFormat/>
  </w:style>
  <w:style w:type="table" w:styleId="1060" w:customStyle="1">
    <w:name w:val="普通表格1"/>
    <w:uiPriority w:val="99"/>
    <w:unhideWhenUsed/>
    <w:qFormat/>
    <w:tblPr/>
  </w:style>
  <w:style w:type="character" w:styleId="1061" w:customStyle="1">
    <w:name w:val="标题 1 字符"/>
    <w:link w:val="1049"/>
    <w:uiPriority w:val="0"/>
    <w:qFormat/>
    <w:rPr>
      <w:rFonts w:ascii="楷体_GB2312" w:hAnsi="Times New Roman" w:eastAsia="楷体_GB2312" w:cs="Times New Roman"/>
      <w:sz w:val="28"/>
      <w:szCs w:val="28"/>
    </w:rPr>
  </w:style>
  <w:style w:type="character" w:styleId="1062" w:customStyle="1">
    <w:name w:val="标题 2 字符"/>
    <w:link w:val="1050"/>
    <w:uiPriority w:val="0"/>
    <w:qFormat/>
    <w:rPr>
      <w:rFonts w:ascii="Arial" w:hAnsi="Arial" w:eastAsia="幼圆" w:cs="Arial"/>
      <w:b/>
      <w:bCs/>
      <w:sz w:val="44"/>
      <w:szCs w:val="44"/>
    </w:rPr>
  </w:style>
  <w:style w:type="character" w:styleId="1063" w:customStyle="1">
    <w:name w:val="标题 3 字符"/>
    <w:link w:val="1051"/>
    <w:uiPriority w:val="0"/>
    <w:qFormat/>
    <w:rPr>
      <w:rFonts w:ascii="Times New Roman" w:hAnsi="Times New Roman" w:eastAsia="宋体" w:cs="Times New Roman"/>
      <w:b/>
      <w:bCs/>
      <w:sz w:val="32"/>
      <w:szCs w:val="32"/>
    </w:rPr>
  </w:style>
  <w:style w:type="character" w:styleId="1064" w:customStyle="1">
    <w:name w:val="标题 4 字符"/>
    <w:link w:val="1052"/>
    <w:uiPriority w:val="0"/>
    <w:qFormat/>
    <w:rPr>
      <w:rFonts w:ascii="Arial" w:hAnsi="Arial" w:eastAsia="黑体" w:cs="Arial"/>
      <w:b/>
      <w:bCs/>
      <w:sz w:val="28"/>
      <w:szCs w:val="28"/>
    </w:rPr>
  </w:style>
  <w:style w:type="character" w:styleId="1065" w:customStyle="1">
    <w:name w:val="正文缩进 字符"/>
    <w:link w:val="1053"/>
    <w:uiPriority w:val="0"/>
    <w:qFormat/>
    <w:rPr>
      <w:szCs w:val="21"/>
    </w:rPr>
  </w:style>
  <w:style w:type="character" w:styleId="1066" w:customStyle="1">
    <w:name w:val="标题 5 字符"/>
    <w:link w:val="1054"/>
    <w:uiPriority w:val="0"/>
    <w:qFormat/>
    <w:rPr>
      <w:rFonts w:ascii="宋体" w:hAnsi="Times New Roman" w:eastAsia="宋体" w:cs="Times New Roman"/>
      <w:color w:val="000000"/>
      <w:sz w:val="28"/>
      <w:szCs w:val="28"/>
    </w:rPr>
  </w:style>
  <w:style w:type="character" w:styleId="1067" w:customStyle="1">
    <w:name w:val="标题 6 字符"/>
    <w:link w:val="1055"/>
    <w:uiPriority w:val="0"/>
    <w:qFormat/>
    <w:rPr>
      <w:rFonts w:ascii="Arial" w:hAnsi="Arial" w:eastAsia="黑体" w:cs="Times New Roman"/>
      <w:b/>
      <w:bCs/>
      <w:sz w:val="24"/>
      <w:szCs w:val="24"/>
    </w:rPr>
  </w:style>
  <w:style w:type="character" w:styleId="1068" w:customStyle="1">
    <w:name w:val="标题 7 字符"/>
    <w:link w:val="1056"/>
    <w:uiPriority w:val="0"/>
    <w:qFormat/>
    <w:rPr>
      <w:rFonts w:ascii="Times New Roman" w:hAnsi="Times New Roman" w:eastAsia="宋体" w:cs="Times New Roman"/>
      <w:b/>
      <w:bCs/>
      <w:sz w:val="24"/>
      <w:szCs w:val="24"/>
    </w:rPr>
  </w:style>
  <w:style w:type="character" w:styleId="1069" w:customStyle="1">
    <w:name w:val="标题 8 字符"/>
    <w:link w:val="1057"/>
    <w:uiPriority w:val="0"/>
    <w:qFormat/>
    <w:rPr>
      <w:rFonts w:ascii="Arial" w:hAnsi="Arial" w:eastAsia="黑体" w:cs="Times New Roman"/>
      <w:sz w:val="24"/>
      <w:szCs w:val="24"/>
    </w:rPr>
  </w:style>
  <w:style w:type="character" w:styleId="1070" w:customStyle="1">
    <w:name w:val="标题 9 字符"/>
    <w:link w:val="1058"/>
    <w:uiPriority w:val="0"/>
    <w:qFormat/>
    <w:rPr>
      <w:rFonts w:ascii="Arial" w:hAnsi="Arial" w:eastAsia="黑体" w:cs="Times New Roman"/>
      <w:szCs w:val="21"/>
    </w:rPr>
  </w:style>
  <w:style w:type="paragraph" w:styleId="1071" w:customStyle="1">
    <w:name w:val="列表 31"/>
    <w:basedOn w:val="868"/>
    <w:uiPriority w:val="0"/>
    <w:qFormat/>
    <w:pPr>
      <w:ind w:left="100" w:hanging="200"/>
    </w:pPr>
    <w:rPr>
      <w:rFonts w:ascii="Times New Roman" w:hAnsi="Times New Roman" w:eastAsia="宋体" w:cs="Times New Roman"/>
      <w:szCs w:val="21"/>
    </w:rPr>
  </w:style>
  <w:style w:type="paragraph" w:styleId="1072" w:customStyle="1">
    <w:name w:val="目录 71"/>
    <w:basedOn w:val="868"/>
    <w:next w:val="868"/>
    <w:uiPriority w:val="0"/>
    <w:semiHidden/>
    <w:qFormat/>
    <w:pPr>
      <w:ind w:left="1260"/>
      <w:jc w:val="left"/>
    </w:pPr>
    <w:rPr>
      <w:rFonts w:ascii="Times New Roman" w:hAnsi="Times New Roman" w:eastAsia="宋体" w:cs="Times New Roman"/>
      <w:szCs w:val="21"/>
    </w:rPr>
  </w:style>
  <w:style w:type="paragraph" w:styleId="1073" w:customStyle="1">
    <w:name w:val="文档结构图1"/>
    <w:basedOn w:val="868"/>
    <w:link w:val="1074"/>
    <w:uiPriority w:val="0"/>
    <w:semiHidden/>
    <w:qFormat/>
    <w:pPr>
      <w:shd w:val="clear" w:color="auto" w:fill="000080"/>
    </w:pPr>
    <w:rPr>
      <w:rFonts w:ascii="Times New Roman" w:hAnsi="Times New Roman" w:eastAsia="宋体" w:cs="Times New Roman"/>
      <w:szCs w:val="21"/>
    </w:rPr>
  </w:style>
  <w:style w:type="character" w:styleId="1074" w:customStyle="1">
    <w:name w:val="文档结构图 字符"/>
    <w:link w:val="1073"/>
    <w:uiPriority w:val="0"/>
    <w:semiHidden/>
    <w:qFormat/>
    <w:rPr>
      <w:rFonts w:ascii="Times New Roman" w:hAnsi="Times New Roman" w:eastAsia="宋体" w:cs="Times New Roman"/>
      <w:szCs w:val="21"/>
      <w:shd w:val="clear" w:color="auto" w:fill="000080"/>
    </w:rPr>
  </w:style>
  <w:style w:type="paragraph" w:styleId="1075" w:customStyle="1">
    <w:name w:val="批注文字1"/>
    <w:basedOn w:val="868"/>
    <w:link w:val="1076"/>
    <w:uiPriority w:val="0"/>
    <w:unhideWhenUsed/>
    <w:qFormat/>
    <w:pPr>
      <w:jc w:val="left"/>
    </w:pPr>
  </w:style>
  <w:style w:type="character" w:styleId="1076" w:customStyle="1">
    <w:name w:val="批注文字 字符"/>
    <w:link w:val="1075"/>
    <w:uiPriority w:val="99"/>
    <w:semiHidden/>
    <w:qFormat/>
  </w:style>
  <w:style w:type="paragraph" w:styleId="1077" w:customStyle="1">
    <w:name w:val="正文文本 31"/>
    <w:basedOn w:val="868"/>
    <w:link w:val="1078"/>
    <w:uiPriority w:val="0"/>
    <w:qFormat/>
    <w:rPr>
      <w:rFonts w:ascii="仿宋_GB2312" w:hAnsi="Arial" w:eastAsia="仿宋_GB2312" w:cs="Times New Roman"/>
      <w:sz w:val="32"/>
      <w:szCs w:val="32"/>
    </w:rPr>
  </w:style>
  <w:style w:type="character" w:styleId="1078" w:customStyle="1">
    <w:name w:val="正文文本 3 字符"/>
    <w:link w:val="1077"/>
    <w:uiPriority w:val="0"/>
    <w:qFormat/>
    <w:rPr>
      <w:rFonts w:ascii="仿宋_GB2312" w:hAnsi="Arial" w:eastAsia="仿宋_GB2312" w:cs="Times New Roman"/>
      <w:sz w:val="32"/>
      <w:szCs w:val="32"/>
    </w:rPr>
  </w:style>
  <w:style w:type="paragraph" w:styleId="1079" w:customStyle="1">
    <w:name w:val="正文文本11"/>
    <w:basedOn w:val="868"/>
    <w:next w:val="868"/>
    <w:link w:val="1080"/>
    <w:uiPriority w:val="0"/>
    <w:qFormat/>
    <w:rPr>
      <w:rFonts w:ascii="楷体_GB2312" w:hAnsi="Arial" w:eastAsia="楷体_GB2312" w:cs="Times New Roman"/>
      <w:sz w:val="28"/>
      <w:szCs w:val="28"/>
    </w:rPr>
  </w:style>
  <w:style w:type="character" w:styleId="1080" w:customStyle="1">
    <w:name w:val="正文文本 字符"/>
    <w:link w:val="1079"/>
    <w:uiPriority w:val="0"/>
    <w:qFormat/>
    <w:rPr>
      <w:rFonts w:ascii="楷体_GB2312" w:hAnsi="Arial" w:eastAsia="楷体_GB2312" w:cs="Times New Roman"/>
      <w:sz w:val="28"/>
      <w:szCs w:val="28"/>
    </w:rPr>
  </w:style>
  <w:style w:type="paragraph" w:styleId="1081" w:customStyle="1">
    <w:name w:val="正文文本缩进11"/>
    <w:basedOn w:val="868"/>
    <w:link w:val="1082"/>
    <w:uiPriority w:val="0"/>
    <w:unhideWhenUsed/>
    <w:qFormat/>
    <w:pPr>
      <w:ind w:left="420"/>
      <w:spacing w:after="120"/>
    </w:pPr>
  </w:style>
  <w:style w:type="character" w:styleId="1082" w:customStyle="1">
    <w:name w:val="正文文本缩进 字符"/>
    <w:link w:val="1081"/>
    <w:uiPriority w:val="99"/>
    <w:semiHidden/>
    <w:qFormat/>
  </w:style>
  <w:style w:type="paragraph" w:styleId="1083" w:customStyle="1">
    <w:name w:val="列表 21"/>
    <w:basedOn w:val="868"/>
    <w:uiPriority w:val="0"/>
    <w:qFormat/>
    <w:pPr>
      <w:ind w:left="100" w:hanging="200"/>
    </w:pPr>
    <w:rPr>
      <w:rFonts w:ascii="Times New Roman" w:hAnsi="Times New Roman" w:eastAsia="宋体" w:cs="Times New Roman"/>
      <w:szCs w:val="21"/>
    </w:rPr>
  </w:style>
  <w:style w:type="paragraph" w:styleId="1084" w:customStyle="1">
    <w:name w:val="目录 51"/>
    <w:basedOn w:val="868"/>
    <w:next w:val="868"/>
    <w:uiPriority w:val="0"/>
    <w:semiHidden/>
    <w:qFormat/>
    <w:pPr>
      <w:ind w:left="840"/>
      <w:jc w:val="left"/>
    </w:pPr>
    <w:rPr>
      <w:rFonts w:ascii="Times New Roman" w:hAnsi="Times New Roman" w:eastAsia="宋体" w:cs="Times New Roman"/>
      <w:szCs w:val="21"/>
    </w:rPr>
  </w:style>
  <w:style w:type="paragraph" w:styleId="1085" w:customStyle="1">
    <w:name w:val="目录 31"/>
    <w:basedOn w:val="868"/>
    <w:next w:val="868"/>
    <w:uiPriority w:val="0"/>
    <w:semiHidden/>
    <w:qFormat/>
    <w:pPr>
      <w:ind w:left="420"/>
      <w:jc w:val="left"/>
    </w:pPr>
    <w:rPr>
      <w:rFonts w:ascii="Times New Roman" w:hAnsi="Times New Roman" w:eastAsia="宋体" w:cs="Times New Roman"/>
      <w:i/>
      <w:iCs/>
      <w:szCs w:val="24"/>
    </w:rPr>
  </w:style>
  <w:style w:type="paragraph" w:styleId="1086" w:customStyle="1">
    <w:name w:val="纯文本1"/>
    <w:basedOn w:val="868"/>
    <w:link w:val="1087"/>
    <w:uiPriority w:val="0"/>
    <w:qFormat/>
    <w:rPr>
      <w:rFonts w:ascii="宋体" w:hAnsi="Courier New" w:eastAsia="宋体" w:cs="Courier New"/>
      <w:szCs w:val="21"/>
    </w:rPr>
  </w:style>
  <w:style w:type="character" w:styleId="1087" w:customStyle="1">
    <w:name w:val="纯文本 字符"/>
    <w:link w:val="1086"/>
    <w:uiPriority w:val="0"/>
    <w:qFormat/>
    <w:rPr>
      <w:rFonts w:ascii="宋体" w:hAnsi="Courier New" w:eastAsia="宋体" w:cs="Courier New"/>
      <w:szCs w:val="21"/>
    </w:rPr>
  </w:style>
  <w:style w:type="paragraph" w:styleId="1088" w:customStyle="1">
    <w:name w:val="目录 81"/>
    <w:basedOn w:val="868"/>
    <w:next w:val="868"/>
    <w:uiPriority w:val="0"/>
    <w:semiHidden/>
    <w:qFormat/>
    <w:pPr>
      <w:ind w:left="1470"/>
      <w:jc w:val="left"/>
    </w:pPr>
    <w:rPr>
      <w:rFonts w:ascii="Times New Roman" w:hAnsi="Times New Roman" w:eastAsia="宋体" w:cs="Times New Roman"/>
      <w:szCs w:val="21"/>
    </w:rPr>
  </w:style>
  <w:style w:type="paragraph" w:styleId="1089" w:customStyle="1">
    <w:name w:val="日期1"/>
    <w:basedOn w:val="868"/>
    <w:next w:val="868"/>
    <w:link w:val="1090"/>
    <w:uiPriority w:val="0"/>
    <w:qFormat/>
    <w:rPr>
      <w:rFonts w:ascii="Times New Roman" w:hAnsi="Times New Roman" w:eastAsia="宋体" w:cs="Times New Roman"/>
      <w:sz w:val="24"/>
      <w:szCs w:val="24"/>
    </w:rPr>
  </w:style>
  <w:style w:type="character" w:styleId="1090" w:customStyle="1">
    <w:name w:val="日期 字符"/>
    <w:link w:val="1089"/>
    <w:uiPriority w:val="0"/>
    <w:qFormat/>
    <w:rPr>
      <w:rFonts w:ascii="Times New Roman" w:hAnsi="Times New Roman" w:eastAsia="宋体" w:cs="Times New Roman"/>
      <w:sz w:val="24"/>
      <w:szCs w:val="24"/>
    </w:rPr>
  </w:style>
  <w:style w:type="paragraph" w:styleId="1091" w:customStyle="1">
    <w:name w:val="正文文本缩进 21"/>
    <w:basedOn w:val="868"/>
    <w:link w:val="1092"/>
    <w:uiPriority w:val="0"/>
    <w:qFormat/>
    <w:pPr>
      <w:ind w:left="630" w:firstLine="645"/>
    </w:pPr>
    <w:rPr>
      <w:rFonts w:ascii="Arial" w:hAnsi="Arial" w:eastAsia="仿宋_GB2312" w:cs="Arial"/>
      <w:sz w:val="32"/>
      <w:szCs w:val="32"/>
    </w:rPr>
  </w:style>
  <w:style w:type="character" w:styleId="1092" w:customStyle="1">
    <w:name w:val="正文文本缩进 2 字符"/>
    <w:link w:val="1091"/>
    <w:uiPriority w:val="0"/>
    <w:qFormat/>
    <w:rPr>
      <w:rFonts w:ascii="Arial" w:hAnsi="Arial" w:eastAsia="仿宋_GB2312" w:cs="Arial"/>
      <w:sz w:val="32"/>
      <w:szCs w:val="32"/>
    </w:rPr>
  </w:style>
  <w:style w:type="paragraph" w:styleId="1093" w:customStyle="1">
    <w:name w:val="批注框文本1"/>
    <w:basedOn w:val="868"/>
    <w:link w:val="1094"/>
    <w:uiPriority w:val="0"/>
    <w:semiHidden/>
    <w:qFormat/>
    <w:rPr>
      <w:rFonts w:ascii="Times New Roman" w:hAnsi="Times New Roman" w:eastAsia="宋体" w:cs="Times New Roman"/>
      <w:sz w:val="18"/>
      <w:szCs w:val="18"/>
    </w:rPr>
  </w:style>
  <w:style w:type="character" w:styleId="1094" w:customStyle="1">
    <w:name w:val="批注框文本 字符"/>
    <w:link w:val="1093"/>
    <w:uiPriority w:val="0"/>
    <w:semiHidden/>
    <w:qFormat/>
    <w:rPr>
      <w:rFonts w:ascii="Times New Roman" w:hAnsi="Times New Roman" w:eastAsia="宋体" w:cs="Times New Roman"/>
      <w:sz w:val="18"/>
      <w:szCs w:val="18"/>
    </w:rPr>
  </w:style>
  <w:style w:type="paragraph" w:styleId="1095" w:customStyle="1">
    <w:name w:val="页脚1"/>
    <w:basedOn w:val="868"/>
    <w:link w:val="109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96" w:customStyle="1">
    <w:name w:val="页脚 字符"/>
    <w:link w:val="1095"/>
    <w:uiPriority w:val="0"/>
    <w:qFormat/>
    <w:rPr>
      <w:rFonts w:ascii="Times New Roman" w:hAnsi="Times New Roman" w:eastAsia="宋体" w:cs="Times New Roman"/>
      <w:sz w:val="18"/>
      <w:szCs w:val="18"/>
    </w:rPr>
  </w:style>
  <w:style w:type="paragraph" w:styleId="1097" w:customStyle="1">
    <w:name w:val="页眉1"/>
    <w:basedOn w:val="868"/>
    <w:link w:val="109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98" w:customStyle="1">
    <w:name w:val="页眉 字符"/>
    <w:link w:val="1097"/>
    <w:uiPriority w:val="0"/>
    <w:qFormat/>
    <w:rPr>
      <w:rFonts w:ascii="Times New Roman" w:hAnsi="Times New Roman" w:eastAsia="宋体" w:cs="Times New Roman"/>
      <w:sz w:val="18"/>
      <w:szCs w:val="18"/>
    </w:rPr>
  </w:style>
  <w:style w:type="paragraph" w:styleId="1099" w:customStyle="1">
    <w:name w:val="目录 111"/>
    <w:basedOn w:val="868"/>
    <w:next w:val="86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0" w:customStyle="1">
    <w:name w:val="目录 41"/>
    <w:basedOn w:val="868"/>
    <w:next w:val="868"/>
    <w:uiPriority w:val="0"/>
    <w:semiHidden/>
    <w:qFormat/>
    <w:pPr>
      <w:ind w:left="630"/>
      <w:jc w:val="left"/>
    </w:pPr>
    <w:rPr>
      <w:rFonts w:ascii="Times New Roman" w:hAnsi="Times New Roman" w:eastAsia="宋体" w:cs="Times New Roman"/>
      <w:szCs w:val="21"/>
    </w:rPr>
  </w:style>
  <w:style w:type="paragraph" w:styleId="1101" w:customStyle="1">
    <w:name w:val="列表1"/>
    <w:basedOn w:val="868"/>
    <w:uiPriority w:val="0"/>
    <w:qFormat/>
    <w:pPr>
      <w:ind w:left="200" w:hanging="200"/>
    </w:pPr>
    <w:rPr>
      <w:rFonts w:ascii="Times New Roman" w:hAnsi="Times New Roman" w:eastAsia="宋体" w:cs="Times New Roman"/>
      <w:szCs w:val="21"/>
    </w:rPr>
  </w:style>
  <w:style w:type="paragraph" w:styleId="1102" w:customStyle="1">
    <w:name w:val="目录 61"/>
    <w:basedOn w:val="868"/>
    <w:next w:val="868"/>
    <w:uiPriority w:val="0"/>
    <w:semiHidden/>
    <w:qFormat/>
    <w:pPr>
      <w:ind w:left="1050"/>
      <w:jc w:val="left"/>
    </w:pPr>
    <w:rPr>
      <w:rFonts w:ascii="Times New Roman" w:hAnsi="Times New Roman" w:eastAsia="宋体" w:cs="Times New Roman"/>
      <w:szCs w:val="21"/>
    </w:rPr>
  </w:style>
  <w:style w:type="paragraph" w:styleId="1103" w:customStyle="1">
    <w:name w:val="正文文本缩进 31"/>
    <w:basedOn w:val="868"/>
    <w:link w:val="1104"/>
    <w:uiPriority w:val="0"/>
    <w:qFormat/>
    <w:pPr>
      <w:ind w:left="645" w:firstLine="645"/>
    </w:pPr>
    <w:rPr>
      <w:rFonts w:ascii="Arial" w:hAnsi="Arial" w:eastAsia="仿宋_GB2312" w:cs="Arial"/>
      <w:color w:val="ffff00"/>
      <w:sz w:val="32"/>
      <w:szCs w:val="32"/>
    </w:rPr>
  </w:style>
  <w:style w:type="character" w:styleId="1104" w:customStyle="1">
    <w:name w:val="正文文本缩进 3 字符"/>
    <w:link w:val="1103"/>
    <w:uiPriority w:val="0"/>
    <w:qFormat/>
    <w:rPr>
      <w:rFonts w:ascii="Arial" w:hAnsi="Arial" w:eastAsia="仿宋_GB2312" w:cs="Arial"/>
      <w:color w:val="ffff00"/>
      <w:sz w:val="32"/>
      <w:szCs w:val="32"/>
    </w:rPr>
  </w:style>
  <w:style w:type="paragraph" w:styleId="1105" w:customStyle="1">
    <w:name w:val="图表目录1"/>
    <w:basedOn w:val="868"/>
    <w:next w:val="868"/>
    <w:uiPriority w:val="0"/>
    <w:semiHidden/>
    <w:qFormat/>
    <w:pPr>
      <w:ind w:left="840" w:hanging="420"/>
    </w:pPr>
    <w:rPr>
      <w:rFonts w:ascii="Times New Roman" w:hAnsi="Times New Roman" w:eastAsia="宋体" w:cs="Times New Roman"/>
      <w:szCs w:val="21"/>
    </w:rPr>
  </w:style>
  <w:style w:type="paragraph" w:styleId="1106" w:customStyle="1">
    <w:name w:val="目录 21"/>
    <w:basedOn w:val="868"/>
    <w:next w:val="868"/>
    <w:uiPriority w:val="0"/>
    <w:semiHidden/>
    <w:qFormat/>
    <w:pPr>
      <w:ind w:left="210"/>
      <w:jc w:val="left"/>
    </w:pPr>
    <w:rPr>
      <w:rFonts w:ascii="Times New Roman" w:hAnsi="Times New Roman" w:eastAsia="宋体" w:cs="Times New Roman"/>
      <w:smallCaps/>
      <w:szCs w:val="24"/>
    </w:rPr>
  </w:style>
  <w:style w:type="paragraph" w:styleId="1107" w:customStyle="1">
    <w:name w:val="目录 91"/>
    <w:basedOn w:val="868"/>
    <w:next w:val="868"/>
    <w:uiPriority w:val="0"/>
    <w:semiHidden/>
    <w:qFormat/>
    <w:pPr>
      <w:ind w:left="1680"/>
      <w:jc w:val="left"/>
    </w:pPr>
    <w:rPr>
      <w:rFonts w:ascii="Times New Roman" w:hAnsi="Times New Roman" w:eastAsia="宋体" w:cs="Times New Roman"/>
      <w:szCs w:val="21"/>
    </w:rPr>
  </w:style>
  <w:style w:type="paragraph" w:styleId="1108" w:customStyle="1">
    <w:name w:val="正文文本 21"/>
    <w:basedOn w:val="868"/>
    <w:link w:val="1109"/>
    <w:uiPriority w:val="0"/>
    <w:qFormat/>
    <w:pPr>
      <w:jc w:val="center"/>
      <w:widowControl/>
    </w:pPr>
    <w:rPr>
      <w:rFonts w:ascii="楷体_GB2312" w:hAnsi="Times New Roman" w:eastAsia="楷体_GB2312" w:cs="Times New Roman"/>
      <w:sz w:val="28"/>
      <w:szCs w:val="28"/>
    </w:rPr>
  </w:style>
  <w:style w:type="character" w:styleId="1109" w:customStyle="1">
    <w:name w:val="正文文本 2 字符"/>
    <w:link w:val="1108"/>
    <w:uiPriority w:val="0"/>
    <w:qFormat/>
    <w:rPr>
      <w:rFonts w:ascii="楷体_GB2312" w:hAnsi="Times New Roman" w:eastAsia="楷体_GB2312" w:cs="Times New Roman"/>
      <w:sz w:val="28"/>
      <w:szCs w:val="28"/>
    </w:rPr>
  </w:style>
  <w:style w:type="paragraph" w:styleId="1110" w:customStyle="1">
    <w:name w:val="普通(网站)11"/>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111" w:customStyle="1">
    <w:name w:val="索引 11"/>
    <w:basedOn w:val="868"/>
    <w:next w:val="868"/>
    <w:uiPriority w:val="0"/>
    <w:semiHidden/>
    <w:qFormat/>
    <w:pPr>
      <w:spacing w:line="240" w:lineRule="atLeast"/>
    </w:pPr>
    <w:rPr>
      <w:rFonts w:ascii="Times New Roman" w:hAnsi="Times New Roman" w:eastAsia="宋体" w:cs="Times New Roman"/>
      <w:b/>
      <w:bCs/>
      <w:szCs w:val="21"/>
    </w:rPr>
  </w:style>
  <w:style w:type="paragraph" w:styleId="1112" w:customStyle="1">
    <w:name w:val="批注主题1"/>
    <w:basedOn w:val="1075"/>
    <w:next w:val="1075"/>
    <w:link w:val="1113"/>
    <w:uiPriority w:val="0"/>
    <w:semiHidden/>
    <w:qFormat/>
    <w:rPr>
      <w:rFonts w:ascii="Times New Roman" w:hAnsi="Times New Roman" w:eastAsia="宋体" w:cs="Times New Roman"/>
      <w:b/>
      <w:bCs/>
      <w:szCs w:val="21"/>
    </w:rPr>
  </w:style>
  <w:style w:type="character" w:styleId="1113" w:customStyle="1">
    <w:name w:val="批注主题 字符"/>
    <w:link w:val="1112"/>
    <w:uiPriority w:val="0"/>
    <w:semiHidden/>
    <w:qFormat/>
    <w:rPr>
      <w:rFonts w:ascii="Times New Roman" w:hAnsi="Times New Roman" w:eastAsia="宋体" w:cs="Times New Roman"/>
      <w:b/>
      <w:bCs/>
      <w:szCs w:val="21"/>
    </w:rPr>
  </w:style>
  <w:style w:type="paragraph" w:styleId="1114" w:customStyle="1">
    <w:name w:val="正文首行缩进1"/>
    <w:basedOn w:val="868"/>
    <w:link w:val="1115"/>
    <w:uiPriority w:val="0"/>
    <w:qFormat/>
    <w:pPr>
      <w:ind w:firstLine="200"/>
      <w:spacing w:line="360" w:lineRule="auto"/>
    </w:pPr>
    <w:rPr>
      <w:rFonts w:ascii="仿宋_GB2312" w:hAnsi="Times New Roman" w:eastAsia="仿宋_GB2312" w:cs="Times New Roman"/>
      <w:sz w:val="30"/>
      <w:szCs w:val="30"/>
    </w:rPr>
  </w:style>
  <w:style w:type="character" w:styleId="1115" w:customStyle="1">
    <w:name w:val="正文文本首行缩进 字符"/>
    <w:link w:val="1114"/>
    <w:uiPriority w:val="0"/>
    <w:qFormat/>
    <w:rPr>
      <w:rFonts w:ascii="仿宋_GB2312" w:hAnsi="Times New Roman" w:eastAsia="仿宋_GB2312" w:cs="Times New Roman"/>
      <w:sz w:val="30"/>
      <w:szCs w:val="30"/>
    </w:rPr>
  </w:style>
  <w:style w:type="paragraph" w:styleId="1116" w:customStyle="1">
    <w:name w:val="正文首行缩进 21"/>
    <w:basedOn w:val="1081"/>
    <w:link w:val="1117"/>
    <w:uiPriority w:val="0"/>
    <w:qFormat/>
    <w:pPr>
      <w:ind w:left="0" w:firstLine="420"/>
      <w:spacing w:after="0" w:line="360" w:lineRule="auto"/>
    </w:pPr>
    <w:rPr>
      <w:rFonts w:ascii="宋体" w:hAnsi="宋体" w:eastAsia="宋体" w:cs="Times New Roman"/>
      <w:szCs w:val="20"/>
    </w:rPr>
  </w:style>
  <w:style w:type="character" w:styleId="1117" w:customStyle="1">
    <w:name w:val="正文文本首行缩进 2 字符"/>
    <w:link w:val="1116"/>
    <w:uiPriority w:val="0"/>
    <w:qFormat/>
    <w:rPr>
      <w:rFonts w:ascii="宋体" w:hAnsi="宋体" w:eastAsia="宋体" w:cs="Times New Roman"/>
      <w:szCs w:val="20"/>
    </w:rPr>
  </w:style>
  <w:style w:type="table" w:styleId="1118" w:customStyle="1">
    <w:name w:val="网格型11"/>
    <w:basedOn w:val="1060"/>
    <w:uiPriority w:val="39"/>
    <w:qFormat/>
    <w:pPr>
      <w:jc w:val="both"/>
      <w:widowControl w:val="off"/>
    </w:pPr>
    <w:rPr>
      <w:rFonts w:ascii="Times New Roman" w:hAnsi="Times New Roman" w:eastAsia="宋体" w:cs="Times New Roman"/>
      <w:sz w:val="20"/>
      <w:szCs w:val="20"/>
    </w:rPr>
    <w:tblPr/>
  </w:style>
  <w:style w:type="character" w:styleId="1119" w:customStyle="1">
    <w:name w:val="要点1"/>
    <w:link w:val="868"/>
    <w:uiPriority w:val="0"/>
    <w:qFormat/>
    <w:rPr>
      <w:b/>
      <w:bCs/>
    </w:rPr>
  </w:style>
  <w:style w:type="character" w:styleId="1120" w:customStyle="1">
    <w:name w:val="页码1"/>
    <w:link w:val="868"/>
    <w:uiPriority w:val="0"/>
    <w:qFormat/>
  </w:style>
  <w:style w:type="character" w:styleId="1121" w:customStyle="1">
    <w:name w:val="已访问的超链接1"/>
    <w:link w:val="868"/>
    <w:uiPriority w:val="0"/>
    <w:qFormat/>
    <w:rPr>
      <w:color w:val="800080"/>
      <w:u w:val="single"/>
    </w:rPr>
  </w:style>
  <w:style w:type="character" w:styleId="1122" w:customStyle="1">
    <w:name w:val="超链接1"/>
    <w:link w:val="868"/>
    <w:uiPriority w:val="0"/>
    <w:qFormat/>
    <w:rPr>
      <w:color w:val="0000ff"/>
      <w:u w:val="single"/>
    </w:rPr>
  </w:style>
  <w:style w:type="character" w:styleId="1123" w:customStyle="1">
    <w:name w:val="批注引用1"/>
    <w:link w:val="868"/>
    <w:uiPriority w:val="0"/>
    <w:qFormat/>
    <w:rPr>
      <w:sz w:val="21"/>
      <w:szCs w:val="21"/>
    </w:rPr>
  </w:style>
  <w:style w:type="paragraph" w:styleId="1124" w:customStyle="1">
    <w:name w:val="正文首行缩进11"/>
    <w:basedOn w:val="1125"/>
    <w:uiPriority w:val="99"/>
    <w:qFormat/>
    <w:pPr>
      <w:ind w:firstLine="200"/>
      <w:spacing w:line="360" w:lineRule="auto"/>
    </w:pPr>
    <w:rPr>
      <w:rFonts w:ascii="仿宋_GB2312" w:hAnsi="Times New Roman" w:eastAsia="仿宋_GB2312"/>
      <w:sz w:val="30"/>
      <w:szCs w:val="30"/>
      <w:lang w:val="zh-CN"/>
    </w:rPr>
  </w:style>
  <w:style w:type="paragraph" w:styleId="1125" w:customStyle="1">
    <w:name w:val="正文文本1"/>
    <w:basedOn w:val="868"/>
    <w:next w:val="868"/>
    <w:uiPriority w:val="0"/>
    <w:qFormat/>
    <w:rPr>
      <w:rFonts w:ascii="仿宋_GB2312" w:eastAsia="仿宋_GB2312"/>
      <w:sz w:val="24"/>
      <w:szCs w:val="20"/>
    </w:rPr>
  </w:style>
  <w:style w:type="paragraph" w:styleId="1126" w:customStyle="1">
    <w:name w:val="标题 211"/>
    <w:basedOn w:val="868"/>
    <w:next w:val="868"/>
    <w:uiPriority w:val="0"/>
    <w:qFormat/>
    <w:pPr>
      <w:jc w:val="center"/>
      <w:keepLines/>
      <w:keepNext/>
      <w:spacing w:before="260" w:after="260" w:line="416" w:lineRule="auto"/>
      <w:outlineLvl w:val="1"/>
    </w:pPr>
    <w:rPr>
      <w:rFonts w:ascii="宋体" w:hAnsi="宋体" w:eastAsia="楷体_GB2312" w:cs="宋体"/>
      <w:b/>
      <w:bCs/>
      <w:sz w:val="26"/>
      <w:szCs w:val="26"/>
    </w:rPr>
  </w:style>
  <w:style w:type="character" w:styleId="1127" w:customStyle="1">
    <w:name w:val="font5 Char"/>
    <w:link w:val="868"/>
    <w:uiPriority w:val="0"/>
    <w:qFormat/>
    <w:rPr>
      <w:rFonts w:ascii="宋体" w:hAnsi="宋体" w:eastAsia="宋体"/>
      <w:sz w:val="28"/>
      <w:szCs w:val="28"/>
      <w:lang w:val="en-US" w:eastAsia="zh-CN" w:bidi="ar-SA"/>
    </w:rPr>
  </w:style>
  <w:style w:type="character" w:styleId="1128" w:customStyle="1">
    <w:name w:val="二级目录 Char"/>
    <w:link w:val="1129"/>
    <w:uiPriority w:val="0"/>
    <w:qFormat/>
    <w:rPr>
      <w:b/>
      <w:sz w:val="30"/>
      <w:szCs w:val="28"/>
    </w:rPr>
  </w:style>
  <w:style w:type="paragraph" w:styleId="1129" w:customStyle="1">
    <w:name w:val="二级目录"/>
    <w:next w:val="868"/>
    <w:link w:val="112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0" w:customStyle="1">
    <w:name w:val="列出段落 Char"/>
    <w:link w:val="1131"/>
    <w:uiPriority w:val="0"/>
    <w:qFormat/>
    <w:rPr>
      <w:rFonts w:ascii="Calibri" w:hAnsi="Calibri"/>
      <w:sz w:val="24"/>
      <w:szCs w:val="24"/>
      <w:lang w:eastAsia="en-US" w:bidi="en-US"/>
    </w:rPr>
  </w:style>
  <w:style w:type="paragraph" w:styleId="1131" w:customStyle="1">
    <w:name w:val="列出段落1"/>
    <w:basedOn w:val="868"/>
    <w:link w:val="1130"/>
    <w:uiPriority w:val="0"/>
    <w:qFormat/>
    <w:pPr>
      <w:contextualSpacing/>
      <w:ind w:left="720"/>
      <w:jc w:val="left"/>
      <w:widowControl/>
    </w:pPr>
    <w:rPr>
      <w:rFonts w:ascii="Calibri" w:hAnsi="Calibri"/>
      <w:sz w:val="24"/>
      <w:szCs w:val="24"/>
      <w:lang w:eastAsia="en-US" w:bidi="en-US"/>
    </w:rPr>
  </w:style>
  <w:style w:type="paragraph" w:styleId="1132" w:customStyle="1">
    <w:name w:val="Body Text(ch)"/>
    <w:basedOn w:val="868"/>
    <w:next w:val="1079"/>
    <w:uiPriority w:val="0"/>
    <w:qFormat/>
    <w:pPr>
      <w:spacing w:after="120"/>
    </w:pPr>
    <w:rPr>
      <w:rFonts w:ascii="宋体" w:hAnsi="Arial" w:eastAsia="宋体" w:cs="Times New Roman"/>
      <w:bCs/>
      <w:iCs/>
      <w:szCs w:val="24"/>
    </w:rPr>
  </w:style>
  <w:style w:type="paragraph" w:styleId="1133" w:customStyle="1">
    <w:name w:val="xl27"/>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4" w:customStyle="1">
    <w:name w:val="xl26"/>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5" w:customStyle="1">
    <w:name w:val="Char"/>
    <w:basedOn w:val="868"/>
    <w:uiPriority w:val="0"/>
    <w:qFormat/>
    <w:pPr>
      <w:ind w:firstLine="200"/>
      <w:tabs>
        <w:tab w:val="left" w:pos="360" w:leader="none"/>
      </w:tabs>
    </w:pPr>
    <w:rPr>
      <w:rFonts w:ascii="Times New Roman" w:hAnsi="Times New Roman" w:eastAsia="宋体" w:cs="Times New Roman"/>
      <w:sz w:val="28"/>
      <w:szCs w:val="30"/>
    </w:rPr>
  </w:style>
  <w:style w:type="paragraph" w:styleId="1136" w:customStyle="1">
    <w:name w:val=" Char"/>
    <w:basedOn w:val="1073"/>
    <w:uiPriority w:val="0"/>
    <w:qFormat/>
    <w:rPr>
      <w:rFonts w:ascii="Tahoma" w:hAnsi="Tahoma"/>
      <w:sz w:val="24"/>
      <w:szCs w:val="24"/>
    </w:rPr>
  </w:style>
  <w:style w:type="paragraph" w:styleId="1137" w:customStyle="1">
    <w:name w:val="普通正文"/>
    <w:basedOn w:val="868"/>
    <w:uiPriority w:val="0"/>
    <w:qFormat/>
    <w:pPr>
      <w:ind w:firstLine="480"/>
      <w:jc w:val="left"/>
      <w:spacing w:before="120" w:after="120" w:line="360" w:lineRule="auto"/>
    </w:pPr>
    <w:rPr>
      <w:rFonts w:ascii="Arial" w:hAnsi="Arial" w:eastAsia="宋体" w:cs="Times New Roman"/>
      <w:sz w:val="24"/>
      <w:szCs w:val="24"/>
    </w:rPr>
  </w:style>
  <w:style w:type="paragraph" w:styleId="1138" w:customStyle="1">
    <w:name w:val="table_lines"/>
    <w:basedOn w:val="868"/>
    <w:uiPriority w:val="0"/>
    <w:qFormat/>
    <w:pPr>
      <w:jc w:val="left"/>
      <w:widowControl/>
    </w:pPr>
    <w:rPr>
      <w:rFonts w:ascii="Times New Roman" w:hAnsi="Times New Roman" w:eastAsia="宋体" w:cs="Times New Roman"/>
      <w:sz w:val="20"/>
      <w:szCs w:val="20"/>
      <w:lang w:val="de-DE" w:eastAsia="de-DE"/>
    </w:rPr>
  </w:style>
  <w:style w:type="paragraph" w:styleId="113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0" w:customStyle="1">
    <w:name w:val="font7"/>
    <w:basedOn w:val="86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41" w:customStyle="1">
    <w:name w:val=" Char Char Char Char"/>
    <w:basedOn w:val="1073"/>
    <w:uiPriority w:val="0"/>
    <w:qFormat/>
    <w:pPr>
      <w:spacing w:line="360" w:lineRule="auto"/>
    </w:pPr>
    <w:rPr>
      <w:rFonts w:ascii="Tahoma" w:hAnsi="Tahoma"/>
      <w:sz w:val="24"/>
      <w:szCs w:val="24"/>
    </w:rPr>
  </w:style>
  <w:style w:type="paragraph" w:styleId="1142" w:customStyle="1">
    <w:name w:val="列表段落"/>
    <w:basedOn w:val="868"/>
    <w:uiPriority w:val="0"/>
    <w:qFormat/>
    <w:pPr>
      <w:contextualSpacing/>
      <w:ind w:left="720"/>
      <w:jc w:val="left"/>
      <w:widowControl/>
    </w:pPr>
    <w:rPr>
      <w:rFonts w:ascii="Calibri" w:hAnsi="Calibri" w:eastAsia="宋体" w:cs="Times New Roman"/>
      <w:sz w:val="24"/>
      <w:szCs w:val="24"/>
      <w:lang w:eastAsia="en-US" w:bidi="en-US"/>
    </w:rPr>
  </w:style>
  <w:style w:type="paragraph" w:styleId="1143" w:customStyle="1">
    <w:name w:val="4"/>
    <w:basedOn w:val="868"/>
    <w:next w:val="1103"/>
    <w:uiPriority w:val="0"/>
    <w:qFormat/>
    <w:pPr>
      <w:ind w:firstLine="420"/>
      <w:spacing w:line="360" w:lineRule="auto"/>
    </w:pPr>
    <w:rPr>
      <w:rFonts w:ascii="Times New Roman" w:hAnsi="Times New Roman" w:eastAsia="宋体" w:cs="Times New Roman"/>
      <w:color w:val="ff0000"/>
      <w:sz w:val="24"/>
      <w:szCs w:val="24"/>
    </w:rPr>
  </w:style>
  <w:style w:type="paragraph" w:styleId="1144" w:customStyle="1">
    <w:name w:val="普通 (Web)"/>
    <w:basedOn w:val="868"/>
    <w:uiPriority w:val="0"/>
    <w:qFormat/>
    <w:pPr>
      <w:jc w:val="left"/>
      <w:spacing w:before="100" w:beforeAutospacing="1" w:after="100" w:afterAutospacing="1"/>
      <w:widowControl/>
    </w:pPr>
    <w:rPr>
      <w:rFonts w:ascii="宋体" w:hAnsi="宋体" w:eastAsia="宋体" w:cs="Times New Roman"/>
      <w:sz w:val="24"/>
      <w:szCs w:val="24"/>
    </w:rPr>
  </w:style>
  <w:style w:type="paragraph" w:styleId="1145" w:customStyle="1">
    <w:name w:val=" Char Char Char Char Char Char Char Char Char Char"/>
    <w:basedOn w:val="868"/>
    <w:uiPriority w:val="0"/>
    <w:qFormat/>
    <w:pPr>
      <w:spacing w:line="360" w:lineRule="auto"/>
    </w:pPr>
    <w:rPr>
      <w:rFonts w:ascii="Times New Roman" w:hAnsi="Times New Roman" w:eastAsia="宋体" w:cs="Times New Roman"/>
      <w:sz w:val="24"/>
      <w:szCs w:val="20"/>
    </w:rPr>
  </w:style>
  <w:style w:type="paragraph" w:styleId="1146" w:customStyle="1">
    <w:name w:val="样式1"/>
    <w:basedOn w:val="868"/>
    <w:uiPriority w:val="0"/>
    <w:qFormat/>
    <w:pPr>
      <w:numPr>
        <w:ilvl w:val="0"/>
        <w:numId w:val="3"/>
      </w:numPr>
    </w:pPr>
    <w:rPr>
      <w:rFonts w:ascii="宋体" w:hAnsi="宋体" w:eastAsia="宋体" w:cs="Times New Roman"/>
      <w:szCs w:val="21"/>
    </w:rPr>
  </w:style>
  <w:style w:type="paragraph" w:styleId="1147" w:customStyle="1">
    <w:name w:val="font6"/>
    <w:basedOn w:val="86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48" w:customStyle="1">
    <w:name w:val="xl25"/>
    <w:basedOn w:val="8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9" w:customStyle="1">
    <w:name w:val="图标"/>
    <w:basedOn w:val="868"/>
    <w:next w:val="8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50" w:customStyle="1">
    <w:name w:val="标题3"/>
    <w:basedOn w:val="868"/>
    <w:next w:val="868"/>
    <w:uiPriority w:val="0"/>
    <w:qFormat/>
    <w:pPr>
      <w:ind w:firstLine="624"/>
      <w:spacing w:line="590" w:lineRule="atLeast"/>
    </w:pPr>
    <w:rPr>
      <w:rFonts w:ascii="方正黑体_GBK" w:hAnsi="Times New Roman" w:eastAsia="方正黑体_GBK" w:cs="Times New Roman"/>
      <w:sz w:val="32"/>
      <w:szCs w:val="32"/>
    </w:rPr>
  </w:style>
  <w:style w:type="paragraph" w:styleId="1151" w:customStyle="1">
    <w:name w:val="xl24"/>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2" w:customStyle="1">
    <w:name w:val="xl29"/>
    <w:basedOn w:val="86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53" w:customStyle="1">
    <w:name w:val="Char Char Char Char Char Char Char Char"/>
    <w:basedOn w:val="868"/>
    <w:uiPriority w:val="0"/>
    <w:qFormat/>
    <w:pPr>
      <w:jc w:val="left"/>
      <w:spacing w:after="160" w:line="240" w:lineRule="exact"/>
      <w:widowControl/>
    </w:pPr>
    <w:rPr>
      <w:rFonts w:ascii="Verdana" w:hAnsi="Verdana" w:eastAsia="宋体" w:cs="Times New Roman"/>
      <w:sz w:val="20"/>
      <w:szCs w:val="20"/>
      <w:lang w:eastAsia="en-US"/>
    </w:rPr>
  </w:style>
  <w:style w:type="paragraph" w:styleId="1154" w:customStyle="1">
    <w:name w:val="xl2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55" w:customStyle="1">
    <w:name w:val=" Char Char Char Char Char Char Char Char"/>
    <w:basedOn w:val="868"/>
    <w:uiPriority w:val="0"/>
    <w:qFormat/>
    <w:pPr>
      <w:jc w:val="left"/>
      <w:spacing w:after="160" w:line="240" w:lineRule="exact"/>
      <w:widowControl/>
    </w:pPr>
    <w:rPr>
      <w:rFonts w:ascii="Verdana" w:hAnsi="Verdana" w:eastAsia="宋体" w:cs="Times New Roman"/>
      <w:sz w:val="20"/>
      <w:szCs w:val="20"/>
      <w:lang w:eastAsia="en-US"/>
    </w:rPr>
  </w:style>
  <w:style w:type="paragraph" w:styleId="1156" w:customStyle="1">
    <w:name w:val="xl30"/>
    <w:basedOn w:val="86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57" w:customStyle="1">
    <w:name w:val="Char Char Char Char"/>
    <w:basedOn w:val="1073"/>
    <w:uiPriority w:val="0"/>
    <w:qFormat/>
    <w:pPr>
      <w:spacing w:line="360" w:lineRule="auto"/>
    </w:pPr>
    <w:rPr>
      <w:rFonts w:ascii="Tahoma" w:hAnsi="Tahoma"/>
      <w:sz w:val="24"/>
      <w:szCs w:val="24"/>
    </w:rPr>
  </w:style>
  <w:style w:type="paragraph" w:styleId="1158" w:customStyle="1">
    <w:name w:val="table_1stline"/>
    <w:basedOn w:val="868"/>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9" w:customStyle="1">
    <w:name w:val="font5"/>
    <w:basedOn w:val="86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60" w:customStyle="1">
    <w:name w:val="标题1"/>
    <w:basedOn w:val="868"/>
    <w:next w:val="86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6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6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3"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164" w:customStyle="1">
    <w:name w:val="目录 53"/>
    <w:next w:val="868"/>
    <w:uiPriority w:val="0"/>
    <w:qFormat/>
    <w:pPr>
      <w:ind w:left="1275"/>
      <w:jc w:val="both"/>
      <w:spacing w:after="160" w:line="278" w:lineRule="auto"/>
    </w:pPr>
    <w:rPr>
      <w:rFonts w:hint="default" w:ascii="Times New Roman" w:hAnsi="Times New Roman" w:eastAsia="宋体" w:cs="Times New Roman"/>
      <w:sz w:val="21"/>
      <w:lang w:val="en-US" w:eastAsia="zh-CN" w:bidi="ar-SA"/>
    </w:rPr>
  </w:style>
  <w:style w:type="table" w:styleId="1165" w:customStyle="1">
    <w:name w:val="网格型1"/>
    <w:basedOn w:val="1060"/>
    <w:uiPriority w:val="39"/>
    <w:qFormat/>
    <w:rPr>
      <w:rFonts w:ascii="等线" w:hAnsi="等线" w:eastAsia="等线" w:cs="Times New Roman"/>
      <w:sz w:val="21"/>
      <w:szCs w:val="22"/>
    </w:rPr>
    <w:tblPr/>
  </w:style>
  <w:style w:type="paragraph" w:styleId="1166" w:customStyle="1">
    <w:name w:val="ListBullet21"/>
    <w:basedOn w:val="868"/>
    <w:uiPriority w:val="0"/>
    <w:qFormat/>
    <w:pPr>
      <w:numPr>
        <w:ilvl w:val="0"/>
        <w:numId w:val="4"/>
      </w:numPr>
    </w:pPr>
    <w:rPr>
      <w:szCs w:val="24"/>
    </w:rPr>
  </w:style>
  <w:style w:type="table" w:styleId="1167" w:customStyle="1">
    <w:name w:val="网格型2"/>
    <w:basedOn w:val="1060"/>
    <w:uiPriority w:val="39"/>
    <w:qFormat/>
    <w:rPr>
      <w:rFonts w:ascii="等线" w:hAnsi="等线" w:eastAsia="等线" w:cs="Times New Roman"/>
      <w:sz w:val="21"/>
      <w:szCs w:val="22"/>
    </w:rPr>
    <w:tblPr/>
  </w:style>
  <w:style w:type="table" w:styleId="1168" w:customStyle="1">
    <w:name w:val="网格型3"/>
    <w:basedOn w:val="1060"/>
    <w:uiPriority w:val="39"/>
    <w:qFormat/>
    <w:rPr>
      <w:rFonts w:ascii="等线" w:hAnsi="等线" w:eastAsia="等线" w:cs="Times New Roman"/>
    </w:rPr>
    <w:tblPr/>
  </w:style>
  <w:style w:type="paragraph" w:styleId="1169" w:customStyle="1">
    <w:name w:val="正文文本首行缩进 2"/>
    <w:basedOn w:val="1170"/>
    <w:uiPriority w:val="0"/>
    <w:qFormat/>
    <w:pPr>
      <w:ind w:left="0" w:firstLine="420"/>
      <w:spacing w:after="0" w:line="360" w:lineRule="auto"/>
    </w:pPr>
    <w:rPr>
      <w:rFonts w:ascii="宋体" w:hAnsi="宋体" w:eastAsia="宋体" w:cs="Times New Roman"/>
      <w:szCs w:val="20"/>
    </w:rPr>
  </w:style>
  <w:style w:type="paragraph" w:styleId="1170" w:customStyle="1">
    <w:name w:val="正文文本缩进1"/>
    <w:basedOn w:val="868"/>
    <w:next w:val="1171"/>
    <w:uiPriority w:val="0"/>
    <w:unhideWhenUsed/>
    <w:qFormat/>
    <w:pPr>
      <w:ind w:left="420"/>
      <w:spacing w:after="120"/>
    </w:pPr>
  </w:style>
  <w:style w:type="paragraph" w:styleId="1171" w:customStyle="1">
    <w:name w:val="寄信人地址1"/>
    <w:basedOn w:val="868"/>
    <w:uiPriority w:val="99"/>
    <w:unhideWhenUsed/>
    <w:qFormat/>
    <w:rPr>
      <w:rFonts w:ascii="Arial" w:hAnsi="Arial"/>
    </w:rPr>
  </w:style>
  <w:style w:type="paragraph" w:styleId="1172" w:customStyle="1">
    <w:name w:val="目录 11"/>
    <w:basedOn w:val="868"/>
    <w:next w:val="868"/>
    <w:uiPriority w:val="0"/>
    <w:semiHidden/>
    <w:qFormat/>
    <w:pPr>
      <w:jc w:val="left"/>
      <w:spacing w:before="120" w:after="120" w:line="400" w:lineRule="exact"/>
      <w:tabs>
        <w:tab w:val="right" w:pos="8720" w:leader="dot"/>
      </w:tabs>
    </w:pPr>
    <w:rPr>
      <w:rFonts w:ascii="宋体" w:hAnsi="宋体"/>
      <w:caps/>
      <w:sz w:val="24"/>
      <w:szCs w:val="24"/>
    </w:rPr>
  </w:style>
  <w:style w:type="paragraph" w:styleId="1173" w:customStyle="1">
    <w:name w:val="标题 41"/>
    <w:basedOn w:val="868"/>
    <w:next w:val="1174"/>
    <w:uiPriority w:val="0"/>
    <w:qFormat/>
    <w:pPr>
      <w:keepLines/>
      <w:keepNext/>
      <w:spacing w:before="280" w:after="290" w:line="376" w:lineRule="auto"/>
      <w:outlineLvl w:val="3"/>
    </w:pPr>
    <w:rPr>
      <w:rFonts w:ascii="Arial" w:hAnsi="Arial" w:eastAsia="黑体" w:cs="Arial"/>
      <w:b/>
      <w:bCs/>
      <w:sz w:val="28"/>
      <w:szCs w:val="28"/>
    </w:rPr>
  </w:style>
  <w:style w:type="paragraph" w:styleId="1174" w:customStyle="1">
    <w:name w:val="正文缩进1"/>
    <w:basedOn w:val="868"/>
    <w:uiPriority w:val="0"/>
    <w:qFormat/>
    <w:pPr>
      <w:ind w:firstLine="420"/>
    </w:pPr>
  </w:style>
  <w:style w:type="paragraph" w:styleId="1175" w:customStyle="1">
    <w:name w:val="普通(网站)1"/>
    <w:basedOn w:val="868"/>
    <w:uiPriority w:val="99"/>
    <w:qFormat/>
    <w:pPr>
      <w:jc w:val="left"/>
      <w:spacing w:before="100" w:beforeAutospacing="1" w:after="100" w:afterAutospacing="1"/>
      <w:widowControl/>
    </w:pPr>
    <w:rPr>
      <w:rFonts w:ascii="宋体" w:hAnsi="宋体" w:eastAsia="宋体" w:cs="宋体"/>
      <w:sz w:val="24"/>
      <w:szCs w:val="24"/>
    </w:rPr>
  </w:style>
  <w:style w:type="paragraph" w:styleId="1176" w:customStyle="1">
    <w:name w:val="正文111"/>
    <w:basedOn w:val="868"/>
    <w:uiPriority w:val="0"/>
    <w:qFormat/>
    <w:pPr>
      <w:ind w:firstLine="1680"/>
      <w:spacing w:line="360" w:lineRule="auto"/>
    </w:pPr>
    <w:rPr>
      <w:rFonts w:ascii="Times New Roman" w:hAnsi="Times New Roman"/>
      <w:szCs w:val="21"/>
    </w:rPr>
  </w:style>
  <w:style w:type="character" w:styleId="1177" w:customStyle="1">
    <w:name w:val="font41"/>
    <w:link w:val="868"/>
    <w:uiPriority w:val="0"/>
    <w:qFormat/>
    <w:rPr>
      <w:rFonts w:hint="eastAsia" w:ascii="宋体" w:hAnsi="宋体" w:eastAsia="宋体" w:cs="宋体"/>
      <w:color w:val="000000"/>
      <w:sz w:val="22"/>
      <w:szCs w:val="22"/>
      <w:u w:val="none"/>
    </w:rPr>
  </w:style>
  <w:style w:type="numbering" w:styleId="14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wmf"/><Relationship Id="rId19" Type="http://schemas.openxmlformats.org/officeDocument/2006/relationships/oleObject" Target="embeddings/oleObject1.bin"/><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陈柯柯</cp:lastModifiedBy>
  <cp:revision>4</cp:revision>
  <dcterms:created xsi:type="dcterms:W3CDTF">2023-03-16T02:13:00Z</dcterms:created>
  <dcterms:modified xsi:type="dcterms:W3CDTF">2025-10-31T01:23:51Z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eyJoZGlkIjoiMDhkZWZkOWRjZTM1ODUwNmU2ODNlNDA2MzMzOWNmZTEiLCJ1c2VySWQiOiI1MjMyNDc1MDUifQ==</vt:lpwstr>
  </property>
  <property fmtid="{D5CDD505-2E9C-101B-9397-08002B2CF9AE}" pid="3" name="KSOProductBuildVer">
    <vt:lpwstr>2052-12.1.0.23125</vt:lpwstr>
  </property>
  <property fmtid="{D5CDD505-2E9C-101B-9397-08002B2CF9AE}" pid="4" name="ICV">
    <vt:lpwstr>116D3DA1248547EBBC48C8BD09081D9A_12</vt:lpwstr>
  </property>
</Properties>
</file>